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113FA" w14:textId="3A5830C9" w:rsidR="00B10792" w:rsidRPr="00A55089" w:rsidRDefault="00BC724E" w:rsidP="007F2397">
      <w:pPr>
        <w:pStyle w:val="Standard"/>
        <w:jc w:val="center"/>
        <w:rPr>
          <w:rFonts w:asciiTheme="minorHAnsi" w:hAnsiTheme="minorHAnsi" w:cstheme="minorHAnsi"/>
          <w:lang w:val="es-ES"/>
        </w:rPr>
      </w:pPr>
      <w:r w:rsidRPr="00A55089">
        <w:rPr>
          <w:rFonts w:asciiTheme="minorHAnsi" w:hAnsiTheme="minorHAnsi" w:cstheme="minorHAnsi"/>
          <w:b/>
          <w:bCs/>
          <w:smallCaps/>
          <w:noProof/>
          <w:sz w:val="40"/>
          <w:szCs w:val="40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1D3DC6CF" wp14:editId="23609F3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78330" cy="841088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ESPIR D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841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82B" w:rsidRPr="00A55089">
        <w:rPr>
          <w:rFonts w:asciiTheme="minorHAnsi" w:hAnsiTheme="minorHAnsi" w:cstheme="minorHAnsi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1458EFD" wp14:editId="5FB5280C">
            <wp:simplePos x="0" y="0"/>
            <wp:positionH relativeFrom="column">
              <wp:posOffset>335</wp:posOffset>
            </wp:positionH>
            <wp:positionV relativeFrom="paragraph">
              <wp:posOffset>335</wp:posOffset>
            </wp:positionV>
            <wp:extent cx="1375469" cy="113006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66" cy="113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84658" w14:textId="62322F94" w:rsidR="00B10792" w:rsidRPr="00A55089" w:rsidRDefault="00BC724E" w:rsidP="00BC724E">
      <w:pPr>
        <w:pStyle w:val="Standard"/>
        <w:tabs>
          <w:tab w:val="left" w:pos="6885"/>
        </w:tabs>
        <w:rPr>
          <w:rFonts w:asciiTheme="minorHAnsi" w:hAnsiTheme="minorHAnsi" w:cstheme="minorHAnsi"/>
          <w:b/>
          <w:bCs/>
          <w:smallCaps/>
          <w:sz w:val="40"/>
          <w:szCs w:val="40"/>
          <w:lang w:val="es-ES"/>
        </w:rPr>
      </w:pPr>
      <w:r w:rsidRPr="00A55089">
        <w:rPr>
          <w:rFonts w:asciiTheme="minorHAnsi" w:hAnsiTheme="minorHAnsi" w:cstheme="minorHAnsi"/>
          <w:b/>
          <w:bCs/>
          <w:smallCaps/>
          <w:sz w:val="40"/>
          <w:szCs w:val="40"/>
          <w:lang w:val="es-ES"/>
        </w:rPr>
        <w:tab/>
      </w:r>
    </w:p>
    <w:p w14:paraId="5E82F801" w14:textId="323F7145" w:rsidR="00B10792" w:rsidRPr="00A55089" w:rsidRDefault="00B10792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  <w:lang w:val="es-ES"/>
        </w:rPr>
      </w:pPr>
    </w:p>
    <w:p w14:paraId="46E94267" w14:textId="7DA53731" w:rsidR="007F2397" w:rsidRPr="00A55089" w:rsidRDefault="007F2397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  <w:lang w:val="es-ES"/>
        </w:rPr>
      </w:pPr>
    </w:p>
    <w:p w14:paraId="46434178" w14:textId="77777777" w:rsidR="007F2397" w:rsidRPr="00A55089" w:rsidRDefault="007F2397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40"/>
          <w:szCs w:val="40"/>
          <w:lang w:val="es-ES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8"/>
      </w:tblGrid>
      <w:tr w:rsidR="00B10792" w:rsidRPr="00A31C7A" w14:paraId="4D9FF332" w14:textId="77777777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E209E" w14:textId="60C625AA" w:rsidR="00A55089" w:rsidRPr="00B514BA" w:rsidRDefault="00A55089" w:rsidP="007F239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  <w:lang w:val="es-ES"/>
              </w:rPr>
            </w:pPr>
            <w:r w:rsidRPr="00B514BA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  <w:lang w:val="es-ES"/>
              </w:rPr>
              <w:t>PLIEGO DE CONDICIONES</w:t>
            </w:r>
          </w:p>
          <w:p w14:paraId="61712B88" w14:textId="7082EE5C" w:rsidR="00B10792" w:rsidRPr="00B514BA" w:rsidRDefault="00370CC7" w:rsidP="007F239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  <w:lang w:val="es-ES"/>
              </w:rPr>
            </w:pPr>
            <w:r w:rsidRPr="00B514BA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  <w:lang w:val="es-ES"/>
              </w:rPr>
              <w:t>prestación</w:t>
            </w:r>
            <w:r w:rsidR="00A55089" w:rsidRPr="00B514BA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  <w:lang w:val="es-ES"/>
              </w:rPr>
              <w:t xml:space="preserve"> intelectual</w:t>
            </w:r>
          </w:p>
        </w:tc>
      </w:tr>
      <w:tr w:rsidR="00B10792" w:rsidRPr="00A31C7A" w14:paraId="517618B9" w14:textId="77777777">
        <w:tc>
          <w:tcPr>
            <w:tcW w:w="9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0A5A" w14:textId="31B19798" w:rsidR="00B10792" w:rsidRPr="00B514BA" w:rsidRDefault="00B10792" w:rsidP="007F239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</w:pPr>
          </w:p>
          <w:p w14:paraId="0ED237C1" w14:textId="2D1CC63A" w:rsidR="00A55089" w:rsidRPr="00B514BA" w:rsidRDefault="00370CC7" w:rsidP="007F239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</w:pPr>
            <w:r w:rsidRPr="00B514BA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>prestación</w:t>
            </w:r>
            <w:r w:rsidR="00A55089" w:rsidRPr="00B514BA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 xml:space="preserve"> intelectual y de </w:t>
            </w:r>
            <w:r w:rsidRPr="00B514BA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>animación</w:t>
            </w:r>
            <w:r w:rsidR="00A55089" w:rsidRPr="00B514BA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 xml:space="preserve"> </w:t>
            </w:r>
          </w:p>
          <w:p w14:paraId="527B7BD5" w14:textId="7303D014" w:rsidR="00B10792" w:rsidRPr="00A55089" w:rsidRDefault="00A55089" w:rsidP="007F239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</w:pPr>
            <w:r w:rsidRPr="00A55089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 xml:space="preserve">« bosques y </w:t>
            </w:r>
            <w:r w:rsidR="00370CC7" w:rsidRPr="00A55089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>adaptación</w:t>
            </w:r>
            <w:r w:rsidRPr="00A55089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 xml:space="preserve"> al cambio </w:t>
            </w:r>
            <w:r w:rsidR="00370CC7" w:rsidRPr="00A55089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>climático</w:t>
            </w:r>
            <w:r w:rsidRPr="00A55089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 xml:space="preserve"> en </w:t>
            </w:r>
            <w:r w:rsidR="00370CC7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>Euskadi</w:t>
            </w:r>
            <w:r w:rsidRPr="00A55089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  <w:t> »</w:t>
            </w:r>
          </w:p>
          <w:p w14:paraId="664A74F7" w14:textId="77777777" w:rsidR="00B10792" w:rsidRPr="00A55089" w:rsidRDefault="00B10792" w:rsidP="007F239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  <w:lang w:val="es-ES"/>
              </w:rPr>
            </w:pPr>
          </w:p>
        </w:tc>
      </w:tr>
      <w:tr w:rsidR="00B10792" w:rsidRPr="00A31C7A" w14:paraId="47B149EA" w14:textId="77777777">
        <w:tc>
          <w:tcPr>
            <w:tcW w:w="9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47C0" w14:textId="552E6F50" w:rsidR="00B10792" w:rsidRPr="00A55089" w:rsidRDefault="00B10792" w:rsidP="007F2397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0E0163F6" w14:textId="6B32507A" w:rsidR="00EB3FAD" w:rsidRDefault="00A55089" w:rsidP="00213173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B3F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Propósito de la </w:t>
            </w:r>
            <w:r w:rsidR="006E4EBF" w:rsidRPr="00EB3FA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consulta:</w:t>
            </w:r>
            <w:r w:rsidR="009608CB" w:rsidRPr="00EB3F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EB3F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Se solicita la organización de taller/es para </w:t>
            </w:r>
            <w:r w:rsidR="00EB3FAD" w:rsidRPr="00EB3F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promover la adaptación al cambio climático</w:t>
            </w:r>
            <w:r w:rsidR="00EB3F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presentar los avances</w:t>
            </w:r>
            <w:r w:rsidR="008F703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conocimientos</w:t>
            </w:r>
            <w:r w:rsidR="00EB3F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buenas prácticas en el tema de adaptación de los bosques al cambio climático en los Pirineos. </w:t>
            </w:r>
          </w:p>
          <w:p w14:paraId="3D28221B" w14:textId="76BE30DD" w:rsidR="00213173" w:rsidRPr="00A55089" w:rsidRDefault="00213173" w:rsidP="008F703E">
            <w:pPr>
              <w:pStyle w:val="TableContents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10792" w:rsidRPr="00A55089" w14:paraId="67715C03" w14:textId="77777777">
        <w:tc>
          <w:tcPr>
            <w:tcW w:w="9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6341" w14:textId="77777777" w:rsidR="00B10792" w:rsidRPr="00A55089" w:rsidRDefault="00B10792" w:rsidP="007F2397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p w14:paraId="3A85BF3B" w14:textId="1D7315FA" w:rsidR="00B10792" w:rsidRPr="00A55089" w:rsidRDefault="006E4EBF" w:rsidP="007F2397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E4E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Poder adjudicador</w:t>
            </w:r>
            <w:r w:rsidR="009608CB" w:rsidRPr="00A550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:</w:t>
            </w:r>
          </w:p>
          <w:p w14:paraId="1351F7DF" w14:textId="77777777" w:rsidR="0084594F" w:rsidRPr="00A55089" w:rsidRDefault="0084594F" w:rsidP="007F2397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55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GEIE FORESPIR </w:t>
            </w:r>
          </w:p>
          <w:p w14:paraId="4A9EEE64" w14:textId="77777777" w:rsidR="0084594F" w:rsidRPr="00A55089" w:rsidRDefault="0084594F" w:rsidP="007F2397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55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23 bis boulevard BONREPOS </w:t>
            </w:r>
          </w:p>
          <w:p w14:paraId="4E2C5E00" w14:textId="77777777" w:rsidR="0084594F" w:rsidRPr="00A55089" w:rsidRDefault="0084594F" w:rsidP="007F2397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55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31000 TOULOUSE</w:t>
            </w:r>
          </w:p>
          <w:p w14:paraId="171F0084" w14:textId="77777777" w:rsidR="0084594F" w:rsidRPr="00A55089" w:rsidRDefault="0084594F" w:rsidP="007F2397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55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+33 534 414 320</w:t>
            </w:r>
          </w:p>
          <w:p w14:paraId="118C04A1" w14:textId="382B1B6B" w:rsidR="0084594F" w:rsidRPr="00A55089" w:rsidRDefault="0070775E" w:rsidP="007F2397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hyperlink r:id="rId10" w:history="1">
              <w:r w:rsidR="00810B52" w:rsidRPr="00A55089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es-ES"/>
                </w:rPr>
                <w:t>http://www.forespir.com</w:t>
              </w:r>
            </w:hyperlink>
            <w:r w:rsidR="00810B52" w:rsidRPr="00A55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84594F" w:rsidRPr="00A550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0FC3D93B" w14:textId="495911DA" w:rsidR="00B10792" w:rsidRPr="00A55089" w:rsidRDefault="00B10792" w:rsidP="007F2397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226EB2D0" w14:textId="00575D6C" w:rsidR="00B10792" w:rsidRPr="00A55089" w:rsidRDefault="00B10792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32A7AFE8" w14:textId="1B7538AF" w:rsidR="0084594F" w:rsidRPr="00A55089" w:rsidRDefault="0084594F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7B0C3FF4" w14:textId="42D6C031" w:rsidR="0084594F" w:rsidRPr="00A55089" w:rsidRDefault="0084594F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4397FE87" w14:textId="6E5EF6AD" w:rsidR="007A582B" w:rsidRPr="00A55089" w:rsidRDefault="007A582B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4C2A450E" w14:textId="0CA80DD2" w:rsidR="007A582B" w:rsidRPr="00A55089" w:rsidRDefault="007A582B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2626DBB3" w14:textId="3BC73486" w:rsidR="007A582B" w:rsidRPr="00A55089" w:rsidRDefault="007A582B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6436D1FE" w14:textId="2622EAE5" w:rsidR="007A582B" w:rsidRPr="00A55089" w:rsidRDefault="007A582B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249A2311" w14:textId="48400EC7" w:rsidR="007A582B" w:rsidRPr="00A55089" w:rsidRDefault="007A582B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5C83CCB2" w14:textId="4750B1CA" w:rsidR="007A582B" w:rsidRPr="00A55089" w:rsidRDefault="007A582B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7DC16626" w14:textId="7F78C2DA" w:rsidR="007A582B" w:rsidRPr="00A55089" w:rsidRDefault="007A582B" w:rsidP="007F2397">
      <w:pPr>
        <w:pStyle w:val="Standard"/>
        <w:rPr>
          <w:rFonts w:asciiTheme="minorHAnsi" w:hAnsiTheme="minorHAnsi" w:cstheme="minorHAnsi"/>
          <w:noProof/>
          <w:lang w:val="es-ES"/>
        </w:rPr>
      </w:pPr>
    </w:p>
    <w:p w14:paraId="56D8198F" w14:textId="77777777" w:rsidR="007A582B" w:rsidRPr="00A55089" w:rsidRDefault="007A582B" w:rsidP="007F2397">
      <w:pPr>
        <w:pStyle w:val="Standard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7C703CAA" w14:textId="78D42ECE" w:rsidR="0084594F" w:rsidRPr="00A55089" w:rsidRDefault="0084594F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7F148826" w14:textId="51B8089F" w:rsidR="0084594F" w:rsidRPr="00A55089" w:rsidRDefault="0084594F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1C2FAE7B" w14:textId="1D337D60" w:rsidR="0084594F" w:rsidRPr="00A55089" w:rsidRDefault="0084594F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5B5D8B1D" w14:textId="2EAEBD10" w:rsidR="007F2397" w:rsidRPr="00A55089" w:rsidRDefault="007F2397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0097ED60" w14:textId="5F7A3831" w:rsidR="007F2397" w:rsidRPr="00A55089" w:rsidRDefault="007F2397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6ECA921B" w14:textId="77777777" w:rsidR="007F2397" w:rsidRPr="00A55089" w:rsidRDefault="007F2397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3BDB087D" w14:textId="5CE17B00" w:rsidR="0084594F" w:rsidRPr="00A55089" w:rsidRDefault="0084594F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513895CD" w14:textId="02D7BB68" w:rsidR="0084594F" w:rsidRPr="00A55089" w:rsidRDefault="0084594F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3AEA1E20" w14:textId="2EF712E2" w:rsidR="00B10792" w:rsidRPr="00A55089" w:rsidRDefault="00B10792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p w14:paraId="429277E8" w14:textId="4A3AC9BA" w:rsidR="00B10792" w:rsidRPr="00A55089" w:rsidRDefault="00637F0E" w:rsidP="007F239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CB9CA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  <w:t>REGLAMENTO DE LA CONSULTA</w:t>
      </w:r>
    </w:p>
    <w:p w14:paraId="080EE7A9" w14:textId="77777777" w:rsidR="00B10792" w:rsidRPr="00A55089" w:rsidRDefault="00B10792" w:rsidP="007F2397">
      <w:pPr>
        <w:pStyle w:val="Standard"/>
        <w:jc w:val="center"/>
        <w:rPr>
          <w:rFonts w:asciiTheme="minorHAnsi" w:hAnsiTheme="minorHAnsi" w:cstheme="minorHAnsi"/>
          <w:b/>
          <w:bCs/>
          <w:smallCaps/>
          <w:sz w:val="32"/>
          <w:szCs w:val="32"/>
          <w:lang w:val="es-ES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8"/>
      </w:tblGrid>
      <w:tr w:rsidR="00B10792" w:rsidRPr="00A55089" w14:paraId="4A462801" w14:textId="77777777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9F2D8" w14:textId="77777777" w:rsidR="00B10792" w:rsidRPr="00A55089" w:rsidRDefault="009608CB" w:rsidP="007F2397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A5508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1. Identification de la structure</w:t>
            </w:r>
          </w:p>
        </w:tc>
      </w:tr>
    </w:tbl>
    <w:p w14:paraId="0079788C" w14:textId="77777777" w:rsidR="00B10792" w:rsidRPr="00A55089" w:rsidRDefault="00B10792" w:rsidP="007F2397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4F123F97" w14:textId="11DC6BDB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1.1. </w:t>
      </w:r>
      <w:r w:rsidR="00637F0E">
        <w:rPr>
          <w:rFonts w:asciiTheme="minorHAnsi" w:hAnsiTheme="minorHAnsi" w:cstheme="minorHAnsi"/>
          <w:b/>
          <w:bCs/>
          <w:sz w:val="22"/>
          <w:szCs w:val="22"/>
          <w:lang w:val="es-ES"/>
        </w:rPr>
        <w:t>Poder adjudicador y socio del proyecto</w:t>
      </w:r>
    </w:p>
    <w:p w14:paraId="5689568F" w14:textId="77777777" w:rsidR="00637F0E" w:rsidRDefault="009E2BFC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7F0E">
        <w:rPr>
          <w:rFonts w:asciiTheme="minorHAnsi" w:hAnsiTheme="minorHAnsi" w:cstheme="minorHAnsi"/>
          <w:sz w:val="22"/>
          <w:szCs w:val="22"/>
        </w:rPr>
        <w:t xml:space="preserve">GEIE FORESPIR, </w:t>
      </w:r>
      <w:r w:rsidR="00637F0E" w:rsidRPr="00637F0E">
        <w:rPr>
          <w:rFonts w:asciiTheme="minorHAnsi" w:hAnsiTheme="minorHAnsi" w:cstheme="minorHAnsi"/>
          <w:sz w:val="22"/>
          <w:szCs w:val="22"/>
        </w:rPr>
        <w:t>G</w:t>
      </w:r>
      <w:r w:rsidRPr="00637F0E">
        <w:rPr>
          <w:rFonts w:asciiTheme="minorHAnsi" w:hAnsiTheme="minorHAnsi" w:cstheme="minorHAnsi"/>
          <w:sz w:val="22"/>
          <w:szCs w:val="22"/>
        </w:rPr>
        <w:t xml:space="preserve">roupement Européen d’Intérêt Economique, </w:t>
      </w:r>
      <w:r w:rsidR="00637F0E">
        <w:rPr>
          <w:rFonts w:asciiTheme="minorHAnsi" w:hAnsiTheme="minorHAnsi" w:cstheme="minorHAnsi"/>
          <w:sz w:val="22"/>
          <w:szCs w:val="22"/>
        </w:rPr>
        <w:t xml:space="preserve">Identificación </w:t>
      </w:r>
      <w:r w:rsidR="009608CB" w:rsidRPr="00637F0E">
        <w:rPr>
          <w:rFonts w:asciiTheme="minorHAnsi" w:hAnsiTheme="minorHAnsi" w:cstheme="minorHAnsi"/>
          <w:sz w:val="22"/>
          <w:szCs w:val="22"/>
        </w:rPr>
        <w:t>Siret</w:t>
      </w:r>
      <w:r w:rsidR="00637F0E">
        <w:rPr>
          <w:rFonts w:asciiTheme="minorHAnsi" w:hAnsiTheme="minorHAnsi" w:cstheme="minorHAnsi"/>
          <w:sz w:val="22"/>
          <w:szCs w:val="22"/>
        </w:rPr>
        <w:t xml:space="preserve"> (NIF)</w:t>
      </w:r>
      <w:r w:rsidR="009608CB" w:rsidRPr="00637F0E">
        <w:rPr>
          <w:rFonts w:asciiTheme="minorHAnsi" w:hAnsiTheme="minorHAnsi" w:cstheme="minorHAnsi"/>
          <w:sz w:val="22"/>
          <w:szCs w:val="22"/>
        </w:rPr>
        <w:t xml:space="preserve"> </w:t>
      </w:r>
      <w:r w:rsidRPr="00637F0E">
        <w:rPr>
          <w:rFonts w:asciiTheme="minorHAnsi" w:hAnsiTheme="minorHAnsi" w:cstheme="minorHAnsi"/>
          <w:sz w:val="22"/>
          <w:szCs w:val="22"/>
        </w:rPr>
        <w:t>423 872 001 000 23</w:t>
      </w:r>
      <w:r w:rsidR="00637F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1E6E8F" w14:textId="72B042F7" w:rsidR="00B10792" w:rsidRPr="00637F0E" w:rsidRDefault="00637F0E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Sede : </w:t>
      </w:r>
      <w:r w:rsidR="009E2BFC" w:rsidRPr="00637F0E">
        <w:rPr>
          <w:rFonts w:asciiTheme="minorHAnsi" w:hAnsiTheme="minorHAnsi" w:cstheme="minorHAnsi"/>
          <w:sz w:val="22"/>
          <w:szCs w:val="22"/>
        </w:rPr>
        <w:t xml:space="preserve">23 bis boulevard </w:t>
      </w:r>
      <w:r>
        <w:rPr>
          <w:rFonts w:asciiTheme="minorHAnsi" w:hAnsiTheme="minorHAnsi" w:cstheme="minorHAnsi"/>
          <w:sz w:val="22"/>
          <w:szCs w:val="22"/>
        </w:rPr>
        <w:t>Bonrepos 31000 TOULOUSE / Francia</w:t>
      </w:r>
      <w:r w:rsidR="009608CB" w:rsidRPr="00637F0E">
        <w:rPr>
          <w:rFonts w:asciiTheme="minorHAnsi" w:hAnsiTheme="minorHAnsi" w:cstheme="minorHAnsi"/>
          <w:sz w:val="22"/>
          <w:szCs w:val="22"/>
        </w:rPr>
        <w:t>.</w:t>
      </w:r>
    </w:p>
    <w:p w14:paraId="4C8415B3" w14:textId="77777777" w:rsidR="00B10792" w:rsidRPr="00637F0E" w:rsidRDefault="00B10792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2416540" w14:textId="3AF7B4D4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1.2. </w:t>
      </w:r>
      <w:r w:rsidR="00637F0E">
        <w:rPr>
          <w:rFonts w:asciiTheme="minorHAnsi" w:hAnsiTheme="minorHAnsi" w:cstheme="minorHAnsi"/>
          <w:b/>
          <w:bCs/>
          <w:sz w:val="22"/>
          <w:szCs w:val="22"/>
          <w:lang w:val="es-ES"/>
        </w:rPr>
        <w:t>Persona a cargo de la ejecución y seguimiento del mercado</w:t>
      </w:r>
    </w:p>
    <w:p w14:paraId="21D5E6F9" w14:textId="4ECC7598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lang w:val="es-ES"/>
        </w:rPr>
      </w:pPr>
      <w:r w:rsidRPr="00A55089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637F0E">
        <w:rPr>
          <w:rFonts w:asciiTheme="minorHAnsi" w:hAnsiTheme="minorHAnsi" w:cstheme="minorHAnsi"/>
          <w:sz w:val="22"/>
          <w:szCs w:val="22"/>
          <w:lang w:val="es-ES"/>
        </w:rPr>
        <w:t xml:space="preserve">persona signataria del mercado es Sr. </w:t>
      </w:r>
      <w:r w:rsidR="009E2BFC" w:rsidRPr="00A55089">
        <w:rPr>
          <w:rFonts w:asciiTheme="minorHAnsi" w:hAnsiTheme="minorHAnsi" w:cstheme="minorHAnsi"/>
          <w:sz w:val="22"/>
          <w:szCs w:val="22"/>
          <w:lang w:val="es-ES"/>
        </w:rPr>
        <w:t>Chauvin</w:t>
      </w:r>
      <w:r w:rsidRPr="00A55089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637F0E">
        <w:rPr>
          <w:rFonts w:asciiTheme="minorHAnsi" w:hAnsiTheme="minorHAnsi" w:cstheme="minorHAnsi"/>
          <w:sz w:val="22"/>
          <w:szCs w:val="22"/>
          <w:lang w:val="es-ES"/>
        </w:rPr>
        <w:t>Directo</w:t>
      </w:r>
      <w:r w:rsidR="009E2BFC" w:rsidRPr="00A55089">
        <w:rPr>
          <w:rFonts w:asciiTheme="minorHAnsi" w:hAnsiTheme="minorHAnsi" w:cstheme="minorHAnsi"/>
          <w:sz w:val="22"/>
          <w:szCs w:val="22"/>
          <w:lang w:val="es-ES"/>
        </w:rPr>
        <w:t>r de FORESPIR</w:t>
      </w:r>
      <w:r w:rsidRPr="00A55089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60AA412" w14:textId="77777777" w:rsidR="00B10792" w:rsidRPr="00A55089" w:rsidRDefault="00B10792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1450735" w14:textId="5C6ACFA5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1.3. </w:t>
      </w:r>
      <w:r w:rsidR="00637F0E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Informaciones administrativas y técnicas </w:t>
      </w:r>
    </w:p>
    <w:p w14:paraId="5032265D" w14:textId="09942757" w:rsidR="00B10792" w:rsidRPr="00A55089" w:rsidRDefault="00637F0E" w:rsidP="00810B52">
      <w:pPr>
        <w:pStyle w:val="Standard"/>
        <w:spacing w:after="120"/>
        <w:jc w:val="both"/>
        <w:rPr>
          <w:rFonts w:asciiTheme="minorHAnsi" w:hAnsiTheme="minorHAnsi" w:cstheme="minorHAnsi"/>
          <w:lang w:val="es-ES"/>
        </w:rPr>
      </w:pPr>
      <w:r w:rsidRPr="00637F0E">
        <w:rPr>
          <w:rFonts w:asciiTheme="minorHAnsi" w:hAnsiTheme="minorHAnsi" w:cstheme="minorHAnsi"/>
          <w:sz w:val="22"/>
          <w:szCs w:val="22"/>
          <w:lang w:val="es-ES"/>
        </w:rPr>
        <w:t xml:space="preserve">La persona autorizada a proporcionar información técnica y administrativa </w:t>
      </w:r>
      <w:r>
        <w:rPr>
          <w:rFonts w:asciiTheme="minorHAnsi" w:hAnsiTheme="minorHAnsi" w:cstheme="minorHAnsi"/>
          <w:sz w:val="22"/>
          <w:szCs w:val="22"/>
          <w:lang w:val="es-ES"/>
        </w:rPr>
        <w:t>es Sr.  Chauvin, Directo</w:t>
      </w:r>
      <w:r w:rsidR="009E2BFC" w:rsidRPr="00A55089">
        <w:rPr>
          <w:rFonts w:asciiTheme="minorHAnsi" w:hAnsiTheme="minorHAnsi" w:cstheme="minorHAnsi"/>
          <w:sz w:val="22"/>
          <w:szCs w:val="22"/>
          <w:lang w:val="es-ES"/>
        </w:rPr>
        <w:t xml:space="preserve">r de FORESPIR, </w:t>
      </w:r>
      <w:hyperlink r:id="rId11" w:history="1">
        <w:r w:rsidR="009E2BFC" w:rsidRPr="00A55089">
          <w:rPr>
            <w:rStyle w:val="Lienhypertexte"/>
            <w:rFonts w:asciiTheme="minorHAnsi" w:hAnsiTheme="minorHAnsi" w:cstheme="minorHAnsi"/>
            <w:sz w:val="22"/>
            <w:szCs w:val="22"/>
            <w:lang w:val="es-ES"/>
          </w:rPr>
          <w:t>sebastien.chauvin@forespir.com</w:t>
        </w:r>
      </w:hyperlink>
      <w:r w:rsidR="009E2BFC" w:rsidRPr="00A5508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EF69AC6" w14:textId="77777777" w:rsidR="00B10792" w:rsidRPr="00A55089" w:rsidRDefault="00B10792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8"/>
      </w:tblGrid>
      <w:tr w:rsidR="00B10792" w:rsidRPr="00A31C7A" w14:paraId="1D07E51F" w14:textId="77777777"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6CD4" w14:textId="116B56A2" w:rsidR="00B10792" w:rsidRPr="00A55089" w:rsidRDefault="009608CB" w:rsidP="00637F0E">
            <w:pPr>
              <w:pStyle w:val="Standard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  <w:r w:rsidRPr="00A5508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2.</w:t>
            </w:r>
            <w:r w:rsidR="009E2BFC" w:rsidRPr="00A5508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637F0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  <w:t>Condiciones generales y características del mercado</w:t>
            </w:r>
          </w:p>
        </w:tc>
      </w:tr>
    </w:tbl>
    <w:p w14:paraId="52EDA383" w14:textId="77777777" w:rsidR="00B10792" w:rsidRPr="00A55089" w:rsidRDefault="009608CB" w:rsidP="007F2397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01A6BCD9" w14:textId="09210EEF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2.1. </w:t>
      </w:r>
      <w:r w:rsidR="00637F0E">
        <w:rPr>
          <w:rFonts w:asciiTheme="minorHAnsi" w:hAnsiTheme="minorHAnsi" w:cstheme="minorHAnsi"/>
          <w:b/>
          <w:bCs/>
          <w:sz w:val="22"/>
          <w:szCs w:val="22"/>
          <w:lang w:val="es-ES"/>
        </w:rPr>
        <w:t>Procedimiento</w:t>
      </w:r>
    </w:p>
    <w:p w14:paraId="75D1FF24" w14:textId="77777777" w:rsidR="00637F0E" w:rsidRPr="00637F0E" w:rsidRDefault="00637F0E" w:rsidP="00637F0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9E2BFC" w:rsidRPr="00A55089">
        <w:rPr>
          <w:rFonts w:asciiTheme="minorHAnsi" w:hAnsiTheme="minorHAnsi" w:cstheme="minorHAnsi"/>
          <w:sz w:val="22"/>
          <w:szCs w:val="22"/>
          <w:lang w:val="es-ES"/>
        </w:rPr>
        <w:t xml:space="preserve"> GEIE FORESPIR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37F0E">
        <w:rPr>
          <w:rFonts w:asciiTheme="minorHAnsi" w:hAnsiTheme="minorHAnsi" w:cstheme="minorHAnsi"/>
          <w:sz w:val="22"/>
          <w:szCs w:val="22"/>
          <w:lang w:val="es-ES"/>
        </w:rPr>
        <w:t>es un organismo de derecho público según la definición europea (que puede incluir organismos con personalidad jurídica privada) en la medida en que cumpla los siguientes criterios</w:t>
      </w:r>
    </w:p>
    <w:p w14:paraId="1435F95F" w14:textId="77777777" w:rsidR="00637F0E" w:rsidRPr="00637F0E" w:rsidRDefault="00637F0E" w:rsidP="00AE6106">
      <w:pPr>
        <w:pStyle w:val="Standard"/>
        <w:spacing w:after="120"/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7F0E">
        <w:rPr>
          <w:rFonts w:asciiTheme="minorHAnsi" w:hAnsiTheme="minorHAnsi" w:cstheme="minorHAnsi"/>
          <w:sz w:val="22"/>
          <w:szCs w:val="22"/>
          <w:lang w:val="es-ES"/>
        </w:rPr>
        <w:t>a.</w:t>
      </w:r>
      <w:r w:rsidRPr="00637F0E">
        <w:rPr>
          <w:rFonts w:asciiTheme="minorHAnsi" w:hAnsiTheme="minorHAnsi" w:cstheme="minorHAnsi"/>
          <w:sz w:val="22"/>
          <w:szCs w:val="22"/>
          <w:lang w:val="es-ES"/>
        </w:rPr>
        <w:tab/>
        <w:t>Se ha establecido con el propósito específico de satisfacer necesidades de interés general que no son de carácter industrial o comercial;</w:t>
      </w:r>
    </w:p>
    <w:p w14:paraId="75AC7D90" w14:textId="77777777" w:rsidR="00637F0E" w:rsidRPr="00637F0E" w:rsidRDefault="00637F0E" w:rsidP="00AE6106">
      <w:pPr>
        <w:pStyle w:val="Standard"/>
        <w:spacing w:after="120"/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7F0E">
        <w:rPr>
          <w:rFonts w:asciiTheme="minorHAnsi" w:hAnsiTheme="minorHAnsi" w:cstheme="minorHAnsi"/>
          <w:sz w:val="22"/>
          <w:szCs w:val="22"/>
          <w:lang w:val="es-ES"/>
        </w:rPr>
        <w:t>b.</w:t>
      </w:r>
      <w:r w:rsidRPr="00637F0E">
        <w:rPr>
          <w:rFonts w:asciiTheme="minorHAnsi" w:hAnsiTheme="minorHAnsi" w:cstheme="minorHAnsi"/>
          <w:sz w:val="22"/>
          <w:szCs w:val="22"/>
          <w:lang w:val="es-ES"/>
        </w:rPr>
        <w:tab/>
        <w:t>Tiene personalidad jurídica; y</w:t>
      </w:r>
    </w:p>
    <w:p w14:paraId="7B05D8E0" w14:textId="3F8022AF" w:rsidR="00B10792" w:rsidRPr="00AE6106" w:rsidRDefault="00637F0E" w:rsidP="00AE6106">
      <w:pPr>
        <w:pStyle w:val="Standard"/>
        <w:spacing w:after="120"/>
        <w:ind w:left="426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37F0E">
        <w:rPr>
          <w:rFonts w:asciiTheme="minorHAnsi" w:hAnsiTheme="minorHAnsi" w:cstheme="minorHAnsi"/>
          <w:sz w:val="22"/>
          <w:szCs w:val="22"/>
          <w:lang w:val="es-ES"/>
        </w:rPr>
        <w:t>c. está financiada mayoritariamente por el Estado, las autoridades regionales o locales u otros organismos de derecho público, o su gestión está sujeta a la supervisión de dichas autoridades u organismos, o su órgano de administración, dirección o supervisión está compuesto por miembros de los que más de la mitad son nombrados por el Estado, las autoridades regionales o locales u otros organismos de derecho pú</w:t>
      </w:r>
      <w:r w:rsidR="00AE6106">
        <w:rPr>
          <w:rFonts w:asciiTheme="minorHAnsi" w:hAnsiTheme="minorHAnsi" w:cstheme="minorHAnsi"/>
          <w:sz w:val="22"/>
          <w:szCs w:val="22"/>
          <w:lang w:val="es-ES"/>
        </w:rPr>
        <w:t>blico.</w:t>
      </w:r>
    </w:p>
    <w:p w14:paraId="4D7C02AB" w14:textId="77777777" w:rsidR="00AE6106" w:rsidRDefault="00AE6106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E6106">
        <w:rPr>
          <w:rFonts w:asciiTheme="minorHAnsi" w:hAnsiTheme="minorHAnsi" w:cstheme="minorHAnsi"/>
          <w:sz w:val="22"/>
          <w:szCs w:val="22"/>
          <w:lang w:val="es-ES"/>
        </w:rPr>
        <w:t xml:space="preserve">Como tal, debe cumplir con la Ordenanza nº 2005-649, de 6 de junio de 2005, relativa a los contratos adjudicados por personas públicas o privadas no sujetas al código de contratación pública y, por tanto, respetar los principios de la contratación pública: licitación, transparencia e igualdad de trato. </w:t>
      </w:r>
    </w:p>
    <w:p w14:paraId="1CAA5FF5" w14:textId="1ACF6071" w:rsidR="00AE6106" w:rsidRPr="00AE6106" w:rsidRDefault="00AE6106" w:rsidP="00AE6106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E6106">
        <w:rPr>
          <w:rFonts w:asciiTheme="minorHAnsi" w:hAnsiTheme="minorHAnsi" w:cstheme="minorHAnsi"/>
          <w:sz w:val="22"/>
          <w:szCs w:val="22"/>
          <w:lang w:val="es-ES"/>
        </w:rPr>
        <w:t>La presente convocatoria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 concurso es realizada por FORESPIR</w:t>
      </w:r>
      <w:r w:rsidRPr="00AE6106">
        <w:rPr>
          <w:rFonts w:asciiTheme="minorHAnsi" w:hAnsiTheme="minorHAnsi" w:cstheme="minorHAnsi"/>
          <w:sz w:val="22"/>
          <w:szCs w:val="22"/>
          <w:lang w:val="es-ES"/>
        </w:rPr>
        <w:t>, beneficiari</w:t>
      </w:r>
      <w:r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AE6106">
        <w:rPr>
          <w:rFonts w:asciiTheme="minorHAnsi" w:hAnsiTheme="minorHAnsi" w:cstheme="minorHAnsi"/>
          <w:sz w:val="22"/>
          <w:szCs w:val="22"/>
          <w:lang w:val="es-ES"/>
        </w:rPr>
        <w:t xml:space="preserve"> del proyecto INTERREG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POCTEFA OPCC-ADAPYR</w:t>
      </w:r>
      <w:r w:rsidRPr="00AE6106">
        <w:rPr>
          <w:rFonts w:asciiTheme="minorHAnsi" w:hAnsiTheme="minorHAnsi" w:cstheme="minorHAnsi"/>
          <w:sz w:val="22"/>
          <w:szCs w:val="22"/>
          <w:lang w:val="es-ES"/>
        </w:rPr>
        <w:t xml:space="preserve">, que aplica en consecuencia el "Reglamento interno de compras destinado a garantizar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el cumplimiento por parte del GEIE </w:t>
      </w:r>
      <w:r w:rsidRPr="00AE6106">
        <w:rPr>
          <w:rFonts w:asciiTheme="minorHAnsi" w:hAnsiTheme="minorHAnsi" w:cstheme="minorHAnsi"/>
          <w:sz w:val="22"/>
          <w:szCs w:val="22"/>
          <w:lang w:val="es-ES"/>
        </w:rPr>
        <w:t xml:space="preserve">FORESPIR de la orden nº 2005-649 de 6 de junio de 2005 relativa a los contratos adjudicados por personas públicas o privadas no sujetas al código de contratación pública". </w:t>
      </w:r>
    </w:p>
    <w:p w14:paraId="21E7E3B0" w14:textId="77777777" w:rsidR="00AE6106" w:rsidRPr="00B514BA" w:rsidRDefault="00AE6106" w:rsidP="00AE6106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3D89AF0" w14:textId="1DCE6649" w:rsidR="00AE6106" w:rsidRDefault="00AE6106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E6106">
        <w:rPr>
          <w:rFonts w:asciiTheme="minorHAnsi" w:hAnsiTheme="minorHAnsi" w:cstheme="minorHAnsi"/>
          <w:sz w:val="22"/>
          <w:szCs w:val="22"/>
          <w:lang w:val="es-ES"/>
        </w:rPr>
        <w:t xml:space="preserve">Este reglamento interno de compras estipula que para las compras de suministros, servicios u obras cuyo valor oscile entre 3.000 euros, sin impuestos, y 15.000 euros, sin impuestos, el órgano de contratación elaborará "un pliego de condiciones sencillo para el producto o servicio previsto, en el que se especifique la naturaleza de la compra, las características o especificidades técnicas, el volumen, los plazos, las entregas, etc." El pliego de condiciones será más o menos detallado según la naturaleza y el importe de la compra prevista; en particular, cuando se trate de una necesidad vinculada a la realización de un proyecto. </w:t>
      </w:r>
    </w:p>
    <w:p w14:paraId="61D75B17" w14:textId="77777777" w:rsidR="00AE6106" w:rsidRDefault="00AE6106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0121CD1" w14:textId="35795CC9" w:rsidR="00AE6106" w:rsidRPr="00AE6106" w:rsidRDefault="00AE6106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E6106">
        <w:rPr>
          <w:rFonts w:asciiTheme="minorHAnsi" w:hAnsiTheme="minorHAnsi" w:cstheme="minorHAnsi"/>
          <w:sz w:val="22"/>
          <w:szCs w:val="22"/>
          <w:lang w:val="es-ES"/>
        </w:rPr>
        <w:t>En el caso de un servicio o producto especializado, las normas de contratación establecen que el poder adjudicador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FORESPIR </w:t>
      </w:r>
      <w:r w:rsidRPr="00AE6106">
        <w:rPr>
          <w:rFonts w:asciiTheme="minorHAnsi" w:hAnsiTheme="minorHAnsi" w:cstheme="minorHAnsi"/>
          <w:sz w:val="22"/>
          <w:szCs w:val="22"/>
          <w:lang w:val="es-ES"/>
        </w:rPr>
        <w:t xml:space="preserve"> "solicitará un mínimo de 3 ofertas (con acuse de recibo para demostrar que las solicitudes se han realizado incluso en ausencia de respuestas del proveedor), y/o anunciará en el sitio web de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FORESPIR, y si necesario en el sitio del proyecto afectado, o, en su defecto, usa la oferta pública clásica.</w:t>
      </w:r>
    </w:p>
    <w:p w14:paraId="3F3DA411" w14:textId="32FFC3A5" w:rsidR="00810B52" w:rsidRPr="00B514BA" w:rsidRDefault="00AE6106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D07FF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ED07FF" w:rsidRPr="00ED07FF">
        <w:rPr>
          <w:rFonts w:asciiTheme="minorHAnsi" w:hAnsiTheme="minorHAnsi" w:cstheme="minorHAnsi"/>
          <w:sz w:val="22"/>
          <w:szCs w:val="22"/>
          <w:lang w:val="es-ES"/>
        </w:rPr>
        <w:t xml:space="preserve">análisis y la </w:t>
      </w:r>
      <w:r w:rsidR="004C53C5" w:rsidRPr="00ED07FF">
        <w:rPr>
          <w:rFonts w:asciiTheme="minorHAnsi" w:hAnsiTheme="minorHAnsi" w:cstheme="minorHAnsi"/>
          <w:sz w:val="22"/>
          <w:szCs w:val="22"/>
          <w:lang w:val="es-ES"/>
        </w:rPr>
        <w:t>clasificación</w:t>
      </w:r>
      <w:r w:rsidR="00ED07FF" w:rsidRPr="00ED07FF">
        <w:rPr>
          <w:rFonts w:asciiTheme="minorHAnsi" w:hAnsiTheme="minorHAnsi" w:cstheme="minorHAnsi"/>
          <w:sz w:val="22"/>
          <w:szCs w:val="22"/>
          <w:lang w:val="es-ES"/>
        </w:rPr>
        <w:t xml:space="preserve"> de las ofertas se realizarán por FORESPIR, y la asignación del mercado </w:t>
      </w:r>
      <w:r w:rsidR="004C53C5" w:rsidRPr="00ED07FF">
        <w:rPr>
          <w:rFonts w:asciiTheme="minorHAnsi" w:hAnsiTheme="minorHAnsi" w:cstheme="minorHAnsi"/>
          <w:sz w:val="22"/>
          <w:szCs w:val="22"/>
          <w:lang w:val="es-ES"/>
        </w:rPr>
        <w:t>será</w:t>
      </w:r>
      <w:r w:rsidR="00ED07FF" w:rsidRPr="00ED07FF">
        <w:rPr>
          <w:rFonts w:asciiTheme="minorHAnsi" w:hAnsiTheme="minorHAnsi" w:cstheme="minorHAnsi"/>
          <w:sz w:val="22"/>
          <w:szCs w:val="22"/>
          <w:lang w:val="es-ES"/>
        </w:rPr>
        <w:t xml:space="preserve"> notificada por </w:t>
      </w:r>
      <w:r w:rsidR="004C53C5" w:rsidRPr="00ED07FF">
        <w:rPr>
          <w:rFonts w:asciiTheme="minorHAnsi" w:hAnsiTheme="minorHAnsi" w:cstheme="minorHAnsi"/>
          <w:sz w:val="22"/>
          <w:szCs w:val="22"/>
          <w:lang w:val="es-ES"/>
        </w:rPr>
        <w:t>vía</w:t>
      </w:r>
      <w:r w:rsidR="00ED07FF" w:rsidRPr="00ED07FF">
        <w:rPr>
          <w:rFonts w:asciiTheme="minorHAnsi" w:hAnsiTheme="minorHAnsi" w:cstheme="minorHAnsi"/>
          <w:sz w:val="22"/>
          <w:szCs w:val="22"/>
          <w:lang w:val="es-ES"/>
        </w:rPr>
        <w:t xml:space="preserve"> electrónica con acuse de recibo, por la Direcci</w:t>
      </w:r>
      <w:r w:rsidR="00ED07FF">
        <w:rPr>
          <w:rFonts w:asciiTheme="minorHAnsi" w:hAnsiTheme="minorHAnsi" w:cstheme="minorHAnsi"/>
          <w:sz w:val="22"/>
          <w:szCs w:val="22"/>
          <w:lang w:val="es-ES"/>
        </w:rPr>
        <w:t xml:space="preserve">ón al adjudicatario. </w:t>
      </w:r>
    </w:p>
    <w:p w14:paraId="722EAE5A" w14:textId="77777777" w:rsidR="00ED07FF" w:rsidRPr="00B514BA" w:rsidRDefault="00ED07FF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AC5B3C6" w14:textId="77777777" w:rsidR="004C53C5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E610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2.2. </w:t>
      </w:r>
      <w:r w:rsidR="004C53C5" w:rsidRPr="004C53C5">
        <w:rPr>
          <w:rFonts w:asciiTheme="minorHAnsi" w:hAnsiTheme="minorHAnsi" w:cstheme="minorHAnsi"/>
          <w:b/>
          <w:bCs/>
          <w:sz w:val="22"/>
          <w:szCs w:val="22"/>
          <w:lang w:val="es-ES"/>
        </w:rPr>
        <w:t>Duración, inicio y adjudicación del contrato</w:t>
      </w:r>
    </w:p>
    <w:p w14:paraId="0799D992" w14:textId="11F60A22" w:rsidR="004C53C5" w:rsidRPr="004C53C5" w:rsidRDefault="004C53C5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C53C5">
        <w:rPr>
          <w:rFonts w:asciiTheme="minorHAnsi" w:hAnsiTheme="minorHAnsi" w:cstheme="minorHAnsi"/>
          <w:sz w:val="22"/>
          <w:szCs w:val="22"/>
          <w:lang w:val="es-ES"/>
        </w:rPr>
        <w:t xml:space="preserve">Se programó el inicio de la prestación el </w:t>
      </w:r>
      <w:r w:rsidRPr="004C53C5">
        <w:rPr>
          <w:rFonts w:asciiTheme="minorHAnsi" w:hAnsiTheme="minorHAnsi" w:cstheme="minorHAnsi"/>
          <w:b/>
          <w:sz w:val="22"/>
          <w:szCs w:val="22"/>
          <w:lang w:val="es-ES"/>
        </w:rPr>
        <w:t>14 de marzo de 2022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32B7B14" w14:textId="09A92540" w:rsidR="004C53C5" w:rsidRPr="004C53C5" w:rsidRDefault="004C53C5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C53C5">
        <w:rPr>
          <w:rFonts w:asciiTheme="minorHAnsi" w:hAnsiTheme="minorHAnsi" w:cstheme="minorHAnsi"/>
          <w:sz w:val="22"/>
          <w:szCs w:val="22"/>
          <w:lang w:val="es-ES"/>
        </w:rPr>
        <w:t xml:space="preserve">Se acaba el proyecto ADAPYR el </w:t>
      </w:r>
      <w:r w:rsidRPr="004C53C5">
        <w:rPr>
          <w:rFonts w:asciiTheme="minorHAnsi" w:hAnsiTheme="minorHAnsi" w:cstheme="minorHAnsi"/>
          <w:b/>
          <w:sz w:val="22"/>
          <w:szCs w:val="22"/>
          <w:lang w:val="es-ES"/>
        </w:rPr>
        <w:t>31/05/2022</w:t>
      </w:r>
      <w:r w:rsidRPr="004C53C5">
        <w:rPr>
          <w:rFonts w:asciiTheme="minorHAnsi" w:hAnsiTheme="minorHAnsi" w:cstheme="minorHAnsi"/>
          <w:sz w:val="22"/>
          <w:szCs w:val="22"/>
          <w:lang w:val="es-ES"/>
        </w:rPr>
        <w:t>. A esta fecha, la prestación (incluyendo entrega del informe), así como la facturación tendrán que ser realizadas.</w:t>
      </w:r>
    </w:p>
    <w:p w14:paraId="362D79DF" w14:textId="133BE534" w:rsidR="004C53C5" w:rsidRPr="004C53C5" w:rsidRDefault="004C53C5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C53C5">
        <w:rPr>
          <w:rFonts w:asciiTheme="minorHAnsi" w:hAnsiTheme="minorHAnsi" w:cstheme="minorHAnsi"/>
          <w:sz w:val="22"/>
          <w:szCs w:val="22"/>
          <w:lang w:val="es-ES"/>
        </w:rPr>
        <w:t>Se atribuirá el mercado a un solo y único prestatario.</w:t>
      </w:r>
    </w:p>
    <w:p w14:paraId="0C8C559D" w14:textId="77777777" w:rsidR="00B10792" w:rsidRPr="00AE6106" w:rsidRDefault="00B10792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7EBD0D6C" w14:textId="451E1A3D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2.3. </w:t>
      </w:r>
      <w:r w:rsidR="002234D2">
        <w:rPr>
          <w:rFonts w:asciiTheme="minorHAnsi" w:hAnsiTheme="minorHAnsi" w:cstheme="minorHAnsi"/>
          <w:b/>
          <w:bCs/>
          <w:sz w:val="22"/>
          <w:szCs w:val="22"/>
          <w:lang w:val="es-ES"/>
        </w:rPr>
        <w:t>C</w:t>
      </w:r>
      <w:r w:rsidR="002234D2" w:rsidRPr="002234D2">
        <w:rPr>
          <w:rFonts w:asciiTheme="minorHAnsi" w:hAnsiTheme="minorHAnsi" w:cstheme="minorHAnsi"/>
          <w:b/>
          <w:bCs/>
          <w:sz w:val="22"/>
          <w:szCs w:val="22"/>
          <w:lang w:val="es-ES"/>
        </w:rPr>
        <w:t>ondiciones generales de ejecución del contrato, presupuesto estimado y condiciones de pago</w:t>
      </w:r>
    </w:p>
    <w:p w14:paraId="2EBCF13C" w14:textId="77777777" w:rsidR="002234D2" w:rsidRPr="002234D2" w:rsidRDefault="002234D2" w:rsidP="002234D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34D2">
        <w:rPr>
          <w:rFonts w:asciiTheme="minorHAnsi" w:hAnsiTheme="minorHAnsi" w:cstheme="minorHAnsi"/>
          <w:sz w:val="22"/>
          <w:szCs w:val="22"/>
          <w:lang w:val="es-ES"/>
        </w:rPr>
        <w:t>La unidad monetaria del mercado es el euro.</w:t>
      </w:r>
    </w:p>
    <w:p w14:paraId="217F60D1" w14:textId="77777777" w:rsidR="002234D2" w:rsidRPr="002234D2" w:rsidRDefault="002234D2" w:rsidP="002234D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34D2">
        <w:rPr>
          <w:rFonts w:asciiTheme="minorHAnsi" w:hAnsiTheme="minorHAnsi" w:cstheme="minorHAnsi"/>
          <w:sz w:val="22"/>
          <w:szCs w:val="22"/>
          <w:lang w:val="es-ES"/>
        </w:rPr>
        <w:t>Todos los precios se indican sin IVA.</w:t>
      </w:r>
    </w:p>
    <w:p w14:paraId="2EB1F97C" w14:textId="60C060F8" w:rsidR="002234D2" w:rsidRPr="002234D2" w:rsidRDefault="002234D2" w:rsidP="002234D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34D2">
        <w:rPr>
          <w:rFonts w:asciiTheme="minorHAnsi" w:hAnsiTheme="minorHAnsi" w:cstheme="minorHAnsi"/>
          <w:sz w:val="22"/>
          <w:szCs w:val="22"/>
          <w:lang w:val="es-ES"/>
        </w:rPr>
        <w:t xml:space="preserve">Los precios son unitarios y se considera que incluyen todas las tasas fiscales, parafiscales o de otro tipo que </w:t>
      </w:r>
      <w:r w:rsidR="006474D4">
        <w:rPr>
          <w:rFonts w:asciiTheme="minorHAnsi" w:hAnsiTheme="minorHAnsi" w:cstheme="minorHAnsi"/>
          <w:sz w:val="22"/>
          <w:szCs w:val="22"/>
          <w:lang w:val="es-ES"/>
        </w:rPr>
        <w:t>afectan</w:t>
      </w:r>
      <w:r w:rsidRPr="002234D2">
        <w:rPr>
          <w:rFonts w:asciiTheme="minorHAnsi" w:hAnsiTheme="minorHAnsi" w:cstheme="minorHAnsi"/>
          <w:sz w:val="22"/>
          <w:szCs w:val="22"/>
          <w:lang w:val="es-ES"/>
        </w:rPr>
        <w:t xml:space="preserve"> los servicios previstos en este contrato.</w:t>
      </w:r>
    </w:p>
    <w:p w14:paraId="7CBCCF6D" w14:textId="77777777" w:rsidR="002234D2" w:rsidRPr="002234D2" w:rsidRDefault="002234D2" w:rsidP="002234D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234D2">
        <w:rPr>
          <w:rFonts w:asciiTheme="minorHAnsi" w:hAnsiTheme="minorHAnsi" w:cstheme="minorHAnsi"/>
          <w:sz w:val="22"/>
          <w:szCs w:val="22"/>
          <w:lang w:val="es-ES"/>
        </w:rPr>
        <w:t>La reducción o el aumento del importe contractual del contrato, cualquiera que sea su cuantía, no da derecho a ninguna indemnización. Los precios son firmes para toda la duración del contrato.</w:t>
      </w:r>
    </w:p>
    <w:p w14:paraId="5E82265D" w14:textId="56E29F17" w:rsidR="00B514BA" w:rsidRDefault="00B514BA" w:rsidP="002234D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514BA">
        <w:rPr>
          <w:rFonts w:asciiTheme="minorHAnsi" w:hAnsiTheme="minorHAnsi" w:cstheme="minorHAnsi"/>
          <w:sz w:val="22"/>
          <w:szCs w:val="22"/>
          <w:lang w:val="es-ES"/>
        </w:rPr>
        <w:t>El pago se realizará en un solo plazo a la recepción de la factura.</w:t>
      </w:r>
    </w:p>
    <w:p w14:paraId="4EFE121E" w14:textId="77777777" w:rsidR="00B514BA" w:rsidRPr="00B514BA" w:rsidRDefault="00B514BA" w:rsidP="002234D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700CE50" w14:textId="08DE4E0D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>2.4. Factura</w:t>
      </w:r>
      <w:r w:rsidR="002234D2">
        <w:rPr>
          <w:rFonts w:asciiTheme="minorHAnsi" w:hAnsiTheme="minorHAnsi" w:cstheme="minorHAnsi"/>
          <w:b/>
          <w:bCs/>
          <w:sz w:val="22"/>
          <w:szCs w:val="22"/>
          <w:lang w:val="es-ES"/>
        </w:rPr>
        <w:t>ción</w:t>
      </w:r>
    </w:p>
    <w:p w14:paraId="536502CB" w14:textId="5F3C0880" w:rsidR="002234D2" w:rsidRDefault="002234D2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Se debe enviar la factura cumpliendo con los siguientes </w:t>
      </w:r>
      <w:r w:rsidR="006474D4">
        <w:rPr>
          <w:rFonts w:asciiTheme="minorHAnsi" w:hAnsiTheme="minorHAnsi" w:cstheme="minorHAnsi"/>
          <w:sz w:val="22"/>
          <w:szCs w:val="22"/>
          <w:lang w:val="es-ES"/>
        </w:rPr>
        <w:t>requisitos: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6528F6D1" w14:textId="4BBCB450" w:rsidR="002234D2" w:rsidRDefault="002234D2" w:rsidP="002234D2">
      <w:pPr>
        <w:pStyle w:val="Standard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Factura con las siguientes informaciones : Nombre de la organización, dirección y </w:t>
      </w:r>
      <w:r w:rsidR="006474D4">
        <w:rPr>
          <w:rFonts w:asciiTheme="minorHAnsi" w:hAnsiTheme="minorHAnsi" w:cstheme="minorHAnsi"/>
          <w:sz w:val="22"/>
          <w:szCs w:val="22"/>
          <w:lang w:val="es-ES"/>
        </w:rPr>
        <w:t>m</w:t>
      </w:r>
      <w:r>
        <w:rPr>
          <w:rFonts w:asciiTheme="minorHAnsi" w:hAnsiTheme="minorHAnsi" w:cstheme="minorHAnsi"/>
          <w:sz w:val="22"/>
          <w:szCs w:val="22"/>
          <w:lang w:val="es-ES"/>
        </w:rPr>
        <w:t>ención “Proyecto INTERREG POCTEFA EFA346/19 OPCC ADAPYR”</w:t>
      </w:r>
    </w:p>
    <w:p w14:paraId="266E6410" w14:textId="593F9C60" w:rsidR="002234D2" w:rsidRDefault="002234D2" w:rsidP="002234D2">
      <w:pPr>
        <w:pStyle w:val="Standard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Objeto de la facturación</w:t>
      </w:r>
    </w:p>
    <w:p w14:paraId="75F87F7C" w14:textId="2DC53263" w:rsidR="002234D2" w:rsidRDefault="002234D2" w:rsidP="002234D2">
      <w:pPr>
        <w:pStyle w:val="Standard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Period</w:t>
      </w:r>
      <w:r w:rsidR="006474D4">
        <w:rPr>
          <w:rFonts w:asciiTheme="minorHAnsi" w:hAnsiTheme="minorHAnsi" w:cstheme="minorHAnsi"/>
          <w:sz w:val="22"/>
          <w:szCs w:val="22"/>
          <w:lang w:val="es-ES"/>
        </w:rPr>
        <w:t>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6474D4">
        <w:rPr>
          <w:rFonts w:asciiTheme="minorHAnsi" w:hAnsiTheme="minorHAnsi" w:cstheme="minorHAnsi"/>
          <w:sz w:val="22"/>
          <w:szCs w:val="22"/>
          <w:lang w:val="es-ES"/>
        </w:rPr>
        <w:t>realización</w:t>
      </w:r>
    </w:p>
    <w:p w14:paraId="6D5477AA" w14:textId="2EE1826F" w:rsidR="002234D2" w:rsidRDefault="002234D2" w:rsidP="002234D2">
      <w:pPr>
        <w:pStyle w:val="Standard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Precio sin IVA, IVA incluido y IVA si aplica</w:t>
      </w:r>
    </w:p>
    <w:p w14:paraId="72BFDA14" w14:textId="5B697D7B" w:rsidR="002234D2" w:rsidRDefault="002234D2" w:rsidP="002234D2">
      <w:pPr>
        <w:pStyle w:val="Standard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Condiciones de pago y referencia bancaria del adjudicatario</w:t>
      </w:r>
    </w:p>
    <w:p w14:paraId="1C2F3DFB" w14:textId="799706B0" w:rsidR="002234D2" w:rsidRDefault="002234D2" w:rsidP="002234D2">
      <w:pPr>
        <w:pStyle w:val="Standard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Fecha de establecimiento necesariamente anterior al 31/05/2022</w:t>
      </w:r>
    </w:p>
    <w:p w14:paraId="650E887D" w14:textId="5FCC56F5" w:rsidR="002234D2" w:rsidRDefault="002234D2" w:rsidP="002234D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Se rechazarán las facturas que no cumplen con estos requisitos.</w:t>
      </w:r>
    </w:p>
    <w:p w14:paraId="476DC878" w14:textId="20D7032C" w:rsidR="00B10792" w:rsidRPr="00A55089" w:rsidRDefault="002234D2" w:rsidP="00AC59CE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B514B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79F13144" w14:textId="001EC00D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>2.</w:t>
      </w:r>
      <w:r w:rsidR="00934E6C"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>5</w:t>
      </w:r>
      <w:r w:rsidR="006474D4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. Condiciones de presentación de las candidaturas </w:t>
      </w:r>
    </w:p>
    <w:p w14:paraId="6501552D" w14:textId="77777777" w:rsidR="00576F35" w:rsidRPr="00576F35" w:rsidRDefault="00576F35" w:rsidP="00576F35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76F35">
        <w:rPr>
          <w:rFonts w:asciiTheme="minorHAnsi" w:hAnsiTheme="minorHAnsi" w:cstheme="minorHAnsi"/>
          <w:sz w:val="22"/>
          <w:szCs w:val="22"/>
          <w:lang w:val="es-ES"/>
        </w:rPr>
        <w:t>Todos los documentos que constituyan, acompañen o se citen en apoyo de la solicitud y de la oferta deberán estar redactados en francés o en español.</w:t>
      </w:r>
    </w:p>
    <w:p w14:paraId="7F2D9B5A" w14:textId="77777777" w:rsidR="00576F35" w:rsidRPr="00576F35" w:rsidRDefault="00576F35" w:rsidP="00576F35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76F35">
        <w:rPr>
          <w:rFonts w:asciiTheme="minorHAnsi" w:hAnsiTheme="minorHAnsi" w:cstheme="minorHAnsi"/>
          <w:sz w:val="22"/>
          <w:szCs w:val="22"/>
          <w:lang w:val="es-ES"/>
        </w:rPr>
        <w:t>Los candidatos deberán presentar sus solicitudes de acuerdo con las condiciones descritas a continuación, de lo contrario serán descalificados.</w:t>
      </w:r>
    </w:p>
    <w:p w14:paraId="13ADBD24" w14:textId="77777777" w:rsidR="00576F35" w:rsidRPr="00576F35" w:rsidRDefault="00576F35" w:rsidP="00576F35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76F35">
        <w:rPr>
          <w:rFonts w:asciiTheme="minorHAnsi" w:hAnsiTheme="minorHAnsi" w:cstheme="minorHAnsi"/>
          <w:sz w:val="22"/>
          <w:szCs w:val="22"/>
          <w:lang w:val="es-ES"/>
        </w:rPr>
        <w:t xml:space="preserve">El expediente de presentación de cada solicitud debe incluir los siguientes documentos </w:t>
      </w:r>
    </w:p>
    <w:p w14:paraId="11D04F67" w14:textId="77777777" w:rsidR="00B514BA" w:rsidRDefault="00576F35" w:rsidP="00B514BA">
      <w:pPr>
        <w:pStyle w:val="Paragraphedeliste"/>
        <w:numPr>
          <w:ilvl w:val="0"/>
          <w:numId w:val="29"/>
        </w:numPr>
        <w:spacing w:after="120" w:line="240" w:lineRule="auto"/>
        <w:ind w:left="760" w:hanging="403"/>
        <w:contextualSpacing w:val="0"/>
        <w:rPr>
          <w:rFonts w:asciiTheme="minorHAnsi" w:hAnsiTheme="minorHAnsi" w:cstheme="minorHAnsi"/>
        </w:rPr>
      </w:pPr>
      <w:r w:rsidRPr="00B514BA">
        <w:rPr>
          <w:rFonts w:asciiTheme="minorHAnsi" w:hAnsiTheme="minorHAnsi" w:cstheme="minorHAnsi"/>
        </w:rPr>
        <w:lastRenderedPageBreak/>
        <w:t>Una declaración bajo juramento, debidamente fechada y firmada por una persona autorizada para comprometer al solicitante, que certifique</w:t>
      </w:r>
      <w:r w:rsidR="008F703E" w:rsidRPr="00B514BA">
        <w:rPr>
          <w:rFonts w:asciiTheme="minorHAnsi" w:hAnsiTheme="minorHAnsi" w:cstheme="minorHAnsi"/>
        </w:rPr>
        <w:t xml:space="preserve"> la empresa no se encuentra en una de las situaciones que hacen incompatible o imposible la firma de un contrato con la administración pública</w:t>
      </w:r>
    </w:p>
    <w:p w14:paraId="294302EE" w14:textId="39F4065D" w:rsidR="00576F35" w:rsidRPr="00576F35" w:rsidRDefault="00576F35" w:rsidP="00B514BA">
      <w:pPr>
        <w:pStyle w:val="Standard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76F35">
        <w:rPr>
          <w:rFonts w:asciiTheme="minorHAnsi" w:hAnsiTheme="minorHAnsi" w:cstheme="minorHAnsi"/>
          <w:sz w:val="22"/>
          <w:szCs w:val="22"/>
          <w:lang w:val="es-ES"/>
        </w:rPr>
        <w:t>Una oferta económica con cifras</w:t>
      </w:r>
    </w:p>
    <w:p w14:paraId="62992148" w14:textId="12CED8AB" w:rsidR="00B514BA" w:rsidRPr="00B514BA" w:rsidRDefault="00576F35" w:rsidP="00B514BA">
      <w:pPr>
        <w:pStyle w:val="Standard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76F35">
        <w:rPr>
          <w:rFonts w:asciiTheme="minorHAnsi" w:hAnsiTheme="minorHAnsi" w:cstheme="minorHAnsi"/>
          <w:sz w:val="22"/>
          <w:szCs w:val="22"/>
          <w:lang w:val="es-ES"/>
        </w:rPr>
        <w:t>Una aceptación de las especificaciones técnicas especiales, fechada y firmada</w:t>
      </w:r>
    </w:p>
    <w:p w14:paraId="0EA65D67" w14:textId="2542079E" w:rsidR="00576F35" w:rsidRDefault="00576F35" w:rsidP="00576F35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76F35">
        <w:rPr>
          <w:rFonts w:asciiTheme="minorHAnsi" w:hAnsiTheme="minorHAnsi" w:cstheme="minorHAnsi"/>
          <w:sz w:val="22"/>
          <w:szCs w:val="22"/>
          <w:lang w:val="es-ES"/>
        </w:rPr>
        <w:t xml:space="preserve">Cada uno de los documentos enumerados anteriormente debe estar firmado y fechado por una persona autorizada a </w:t>
      </w:r>
      <w:r w:rsidR="00360F48">
        <w:rPr>
          <w:rFonts w:asciiTheme="minorHAnsi" w:hAnsiTheme="minorHAnsi" w:cstheme="minorHAnsi"/>
          <w:sz w:val="22"/>
          <w:szCs w:val="22"/>
          <w:lang w:val="es-ES"/>
        </w:rPr>
        <w:t>comprometer</w:t>
      </w:r>
      <w:r w:rsidRPr="00576F35">
        <w:rPr>
          <w:rFonts w:asciiTheme="minorHAnsi" w:hAnsiTheme="minorHAnsi" w:cstheme="minorHAnsi"/>
          <w:sz w:val="22"/>
          <w:szCs w:val="22"/>
          <w:lang w:val="es-ES"/>
        </w:rPr>
        <w:t xml:space="preserve"> al solicitante o ir acompañado, en su caso, de un poder que autorice al firmante a </w:t>
      </w:r>
      <w:r w:rsidR="00360F48">
        <w:rPr>
          <w:rFonts w:asciiTheme="minorHAnsi" w:hAnsiTheme="minorHAnsi" w:cstheme="minorHAnsi"/>
          <w:sz w:val="22"/>
          <w:szCs w:val="22"/>
          <w:lang w:val="es-ES"/>
        </w:rPr>
        <w:t>comprometer</w:t>
      </w:r>
      <w:r w:rsidRPr="00576F35">
        <w:rPr>
          <w:rFonts w:asciiTheme="minorHAnsi" w:hAnsiTheme="minorHAnsi" w:cstheme="minorHAnsi"/>
          <w:sz w:val="22"/>
          <w:szCs w:val="22"/>
          <w:lang w:val="es-ES"/>
        </w:rPr>
        <w:t xml:space="preserve"> a la empresa solicitante.</w:t>
      </w:r>
    </w:p>
    <w:p w14:paraId="7BC7304F" w14:textId="245ADE68" w:rsidR="00B10792" w:rsidRPr="00A55089" w:rsidRDefault="00360F48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39541F5" w14:textId="2D8C3261" w:rsidR="00B10792" w:rsidRPr="00A55089" w:rsidRDefault="009608CB" w:rsidP="00810B52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>2.</w:t>
      </w:r>
      <w:r w:rsidR="00F748DF"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>6</w:t>
      </w:r>
      <w:r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. </w:t>
      </w:r>
      <w:r w:rsidR="00360F48" w:rsidRPr="00360F48">
        <w:rPr>
          <w:rFonts w:asciiTheme="minorHAnsi" w:hAnsiTheme="minorHAnsi" w:cstheme="minorHAnsi"/>
          <w:b/>
          <w:bCs/>
          <w:sz w:val="22"/>
          <w:szCs w:val="22"/>
          <w:lang w:val="es-ES"/>
        </w:rPr>
        <w:t>Criterios de adjudicación de la presente licitación</w:t>
      </w:r>
    </w:p>
    <w:p w14:paraId="76757ACB" w14:textId="0F75EB43" w:rsidR="00360F48" w:rsidRDefault="00360F48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Las respuestas a esta consulta serán evaluadas sobre 100 puntos, según los siguientes criterios: </w:t>
      </w:r>
    </w:p>
    <w:p w14:paraId="30102634" w14:textId="58831BC1" w:rsidR="00B10792" w:rsidRPr="00B514BA" w:rsidRDefault="00360F48" w:rsidP="00810B52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514B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0"/>
        <w:gridCol w:w="2258"/>
      </w:tblGrid>
      <w:tr w:rsidR="00B10792" w:rsidRPr="00360F48" w14:paraId="02EEEC37" w14:textId="77777777"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5654" w14:textId="1BF9A0A0" w:rsidR="00B10792" w:rsidRPr="00A55089" w:rsidRDefault="00360F48" w:rsidP="007F239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Valor técnica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D2A0" w14:textId="14FDE514" w:rsidR="00B10792" w:rsidRPr="00FF2E8F" w:rsidRDefault="00FF2E8F" w:rsidP="007F239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F2E8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Nú</w:t>
            </w:r>
            <w:r w:rsidR="00360F48" w:rsidRPr="00FF2E8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m. de puntos</w:t>
            </w:r>
          </w:p>
        </w:tc>
      </w:tr>
      <w:tr w:rsidR="00B10792" w:rsidRPr="00360F48" w14:paraId="0C47AEF0" w14:textId="77777777" w:rsidTr="00F748DF">
        <w:trPr>
          <w:trHeight w:val="510"/>
        </w:trPr>
        <w:tc>
          <w:tcPr>
            <w:tcW w:w="7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8F4C" w14:textId="6B28DB04" w:rsidR="00B10792" w:rsidRPr="00FF2E8F" w:rsidRDefault="00360F48" w:rsidP="007F239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F2E8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Relevancia de la respuesta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1EF0" w14:textId="38102FB1" w:rsidR="00B10792" w:rsidRPr="00360F48" w:rsidRDefault="00D36B83" w:rsidP="007F239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F4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B10792" w:rsidRPr="00360F48" w14:paraId="652470D6" w14:textId="77777777" w:rsidTr="00F748DF">
        <w:trPr>
          <w:trHeight w:val="510"/>
        </w:trPr>
        <w:tc>
          <w:tcPr>
            <w:tcW w:w="7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EE72F" w14:textId="25BAA4EA" w:rsidR="00F748DF" w:rsidRPr="00FF2E8F" w:rsidRDefault="00360F48" w:rsidP="007F239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F2E8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Precio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7C02E" w14:textId="62278A89" w:rsidR="00B10792" w:rsidRPr="00360F48" w:rsidRDefault="00D36B83" w:rsidP="007F239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F4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</w:tbl>
    <w:p w14:paraId="1D4A2694" w14:textId="21FA82F0" w:rsidR="00B10792" w:rsidRPr="00360F48" w:rsidRDefault="00B10792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5A2252C" w14:textId="77777777" w:rsidR="00934E6C" w:rsidRPr="00360F48" w:rsidRDefault="00934E6C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B6C007" w14:textId="392792DF" w:rsidR="00B10792" w:rsidRDefault="009608CB" w:rsidP="00D36B83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360F48">
        <w:rPr>
          <w:rFonts w:asciiTheme="minorHAnsi" w:hAnsiTheme="minorHAnsi" w:cstheme="minorHAnsi"/>
          <w:b/>
          <w:bCs/>
          <w:sz w:val="22"/>
          <w:szCs w:val="22"/>
          <w:lang w:val="es-ES"/>
        </w:rPr>
        <w:t>2.</w:t>
      </w:r>
      <w:r w:rsidR="00F748DF" w:rsidRPr="00360F48">
        <w:rPr>
          <w:rFonts w:asciiTheme="minorHAnsi" w:hAnsiTheme="minorHAnsi" w:cstheme="minorHAnsi"/>
          <w:b/>
          <w:bCs/>
          <w:sz w:val="22"/>
          <w:szCs w:val="22"/>
          <w:lang w:val="es-ES"/>
        </w:rPr>
        <w:t>7</w:t>
      </w:r>
      <w:r w:rsidRPr="00360F4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. </w:t>
      </w:r>
      <w:r w:rsidR="00360F48" w:rsidRPr="00360F48">
        <w:rPr>
          <w:rFonts w:asciiTheme="minorHAnsi" w:hAnsiTheme="minorHAnsi" w:cstheme="minorHAnsi"/>
          <w:b/>
          <w:bCs/>
          <w:sz w:val="22"/>
          <w:szCs w:val="22"/>
          <w:lang w:val="es-ES"/>
        </w:rPr>
        <w:t>Condiciones de respuesta a esta licitaci</w:t>
      </w:r>
      <w:r w:rsidR="00360F48">
        <w:rPr>
          <w:rFonts w:asciiTheme="minorHAnsi" w:hAnsiTheme="minorHAnsi" w:cstheme="minorHAnsi"/>
          <w:b/>
          <w:bCs/>
          <w:sz w:val="22"/>
          <w:szCs w:val="22"/>
          <w:lang w:val="es-ES"/>
        </w:rPr>
        <w:t>ón</w:t>
      </w:r>
    </w:p>
    <w:p w14:paraId="400C73A7" w14:textId="77777777" w:rsidR="006E3E0A" w:rsidRPr="00360F48" w:rsidRDefault="006E3E0A" w:rsidP="006E3E0A">
      <w:pPr>
        <w:pStyle w:val="Standard"/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360F48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Se 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enviarán las ofertas a lo más tardar el 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11</w:t>
      </w:r>
      <w:r w:rsidRPr="00360F48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marzo 2022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(17h, hora de Paris, Francia), solo por correo electrónico a </w:t>
      </w:r>
      <w:hyperlink r:id="rId12" w:history="1">
        <w:r w:rsidRPr="00A55089">
          <w:rPr>
            <w:rStyle w:val="Lienhypertexte"/>
            <w:rFonts w:asciiTheme="minorHAnsi" w:hAnsiTheme="minorHAnsi" w:cstheme="minorHAnsi"/>
            <w:sz w:val="22"/>
            <w:szCs w:val="22"/>
            <w:lang w:val="es-ES"/>
          </w:rPr>
          <w:t>sebastien.chauvin@forespir.com</w:t>
        </w:r>
      </w:hyperlink>
      <w:r w:rsidRPr="00A55089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</w:p>
    <w:p w14:paraId="38BDB119" w14:textId="77777777" w:rsidR="006E3E0A" w:rsidRPr="00360F48" w:rsidRDefault="006E3E0A" w:rsidP="006E3E0A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60F48">
        <w:rPr>
          <w:rFonts w:asciiTheme="minorHAnsi" w:hAnsiTheme="minorHAnsi" w:cstheme="minorHAnsi"/>
          <w:sz w:val="22"/>
          <w:szCs w:val="22"/>
          <w:lang w:val="es-ES"/>
        </w:rPr>
        <w:t>La selección del prestatario se har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á el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14</w:t>
      </w:r>
      <w:r w:rsidRPr="00360F48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 marzo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2022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a los más tardar.</w:t>
      </w:r>
    </w:p>
    <w:p w14:paraId="0D87453C" w14:textId="5A3A9F72" w:rsidR="00B10792" w:rsidRDefault="00B10792" w:rsidP="00D36B8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</w:p>
    <w:p w14:paraId="1603D0C0" w14:textId="77777777" w:rsidR="00AC59CE" w:rsidRPr="00A55089" w:rsidRDefault="00AC59CE" w:rsidP="00D36B8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977C4F9" w14:textId="77777777" w:rsidR="00B10792" w:rsidRPr="00A55089" w:rsidRDefault="00B10792" w:rsidP="00D36B8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2CC4473" w14:textId="5EC32C02" w:rsidR="00B10792" w:rsidRPr="00A55089" w:rsidRDefault="00B10792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07C1F6C" w14:textId="05630669" w:rsidR="00F748DF" w:rsidRPr="00A55089" w:rsidRDefault="00F748DF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2F9A051" w14:textId="7D8829C6" w:rsidR="00F748DF" w:rsidRPr="00A55089" w:rsidRDefault="00F748DF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BB795C6" w14:textId="77777777" w:rsidR="00F748DF" w:rsidRPr="00A55089" w:rsidRDefault="00F748DF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4725E50" w14:textId="1299136C" w:rsidR="00F748DF" w:rsidRPr="00A55089" w:rsidRDefault="00F748DF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58AC4B1" w14:textId="77777777" w:rsidR="00F748DF" w:rsidRPr="00A55089" w:rsidRDefault="00F748DF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16AA7E7" w14:textId="6C540719" w:rsidR="00B10792" w:rsidRPr="00A55089" w:rsidRDefault="00B10792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EA13C7F" w14:textId="5716BB73" w:rsidR="007F2397" w:rsidRPr="00A55089" w:rsidRDefault="007F2397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E221E05" w14:textId="1DE6673B" w:rsidR="00D36B83" w:rsidRPr="00A55089" w:rsidRDefault="00D36B83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B130BDD" w14:textId="77777777" w:rsidR="00D36B83" w:rsidRPr="00A55089" w:rsidRDefault="00D36B83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D2D8941" w14:textId="36F75B7B" w:rsidR="007F2397" w:rsidRPr="00A55089" w:rsidRDefault="007F2397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A7D417E" w14:textId="42466760" w:rsidR="007F2397" w:rsidRPr="00A55089" w:rsidRDefault="007F2397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1F8973B" w14:textId="58CE859A" w:rsidR="007F2397" w:rsidRDefault="007F2397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D750970" w14:textId="77777777" w:rsidR="008F703E" w:rsidRPr="00A55089" w:rsidRDefault="008F703E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5E8569E" w14:textId="6C9F2F8F" w:rsidR="007F2397" w:rsidRDefault="007F2397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1F0607C" w14:textId="6DB23F4C" w:rsidR="00B514BA" w:rsidRDefault="00B514BA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A334709" w14:textId="73A1774A" w:rsidR="00B514BA" w:rsidRDefault="00B514BA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46A3697" w14:textId="49BCF720" w:rsidR="00AC59CE" w:rsidRDefault="00AC59CE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1617045" w14:textId="77777777" w:rsidR="00AC59CE" w:rsidRPr="00A55089" w:rsidRDefault="00AC59CE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FF6C6EC" w14:textId="293A1E02" w:rsidR="007F2397" w:rsidRPr="00A55089" w:rsidRDefault="007F2397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2E5A7AE" w14:textId="1F5EAE3B" w:rsidR="00D36B83" w:rsidRPr="00A55089" w:rsidRDefault="00D36B83" w:rsidP="007F2397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B10792" w:rsidRPr="00FF2E8F" w14:paraId="4CEB0861" w14:textId="7777777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6E6A3" w14:textId="0309B5D7" w:rsidR="00B10792" w:rsidRPr="00FF2E8F" w:rsidRDefault="00FB7B8C" w:rsidP="008F703E">
            <w:pPr>
              <w:pStyle w:val="Standard"/>
              <w:shd w:val="clear" w:color="auto" w:fill="ACB9CA"/>
              <w:jc w:val="center"/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lastRenderedPageBreak/>
              <w:t>E</w:t>
            </w:r>
            <w:r w:rsidR="00010203" w:rsidRPr="00010203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SPECIFICACIONES TÉCNICAS </w:t>
            </w:r>
          </w:p>
        </w:tc>
      </w:tr>
    </w:tbl>
    <w:p w14:paraId="6FAD532B" w14:textId="77777777" w:rsidR="00B10792" w:rsidRPr="00FF2E8F" w:rsidRDefault="00B10792" w:rsidP="007F2397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75C81F8" w14:textId="0840FDBC" w:rsidR="00B10792" w:rsidRPr="00A55089" w:rsidRDefault="00010203" w:rsidP="007F2397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ES"/>
        </w:rPr>
        <w:t>Contexto de la consulta</w:t>
      </w:r>
    </w:p>
    <w:p w14:paraId="19C5BF86" w14:textId="77777777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>OPCC ADAPYR es el proyecto federador de los Pirineos en materia de observación, capitalización y transferencia de conocimientos y buenas prácticas de adaptación al cambio climático. Afecta a ambos lados del macizo, así como a Andorra.</w:t>
      </w:r>
    </w:p>
    <w:p w14:paraId="52514262" w14:textId="29E506F1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Su objetivo es lograr: </w:t>
      </w:r>
    </w:p>
    <w:p w14:paraId="126C871D" w14:textId="77777777" w:rsidR="00010203" w:rsidRPr="000D7121" w:rsidRDefault="00010203" w:rsidP="00010203">
      <w:pPr>
        <w:pStyle w:val="Standard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Un consenso científico en la definición de los indicadores básicos del impacto del cambio climático en los Pirineos (biodiversidad, bosques, glaciares, lagos y turberas, recursos hídricos y riesgos naturales), </w:t>
      </w:r>
    </w:p>
    <w:p w14:paraId="68883162" w14:textId="77777777" w:rsidR="00010203" w:rsidRPr="000D7121" w:rsidRDefault="00010203" w:rsidP="00010203">
      <w:pPr>
        <w:pStyle w:val="Standard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Una primera Estrategia Pirenaica sobre el Cambio Climático, </w:t>
      </w:r>
    </w:p>
    <w:p w14:paraId="4BDB723D" w14:textId="77777777" w:rsidR="00010203" w:rsidRPr="000D7121" w:rsidRDefault="00010203" w:rsidP="00010203">
      <w:pPr>
        <w:pStyle w:val="Standard"/>
        <w:numPr>
          <w:ilvl w:val="0"/>
          <w:numId w:val="25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>La transferencia de conocimientos a los sectores socioeconómicos a través de procesos participativos, para identificar las necesidades de información y la generación de información específica útil para los principales sectores socioeconómicos de los Pirineos (agro-pastoralismo, turismo, energía, salud).</w:t>
      </w:r>
    </w:p>
    <w:p w14:paraId="3CBA6EBE" w14:textId="77777777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El cambio climático puede incidir en los procesos forestales y en las especies que los habitan (crecimiento, mortalidad, reproducción), modificando así los factores de evolución de la estructura de las masas y su diversidad. En las zonas de montaña se pueden inducir diferentes fenómenos:  </w:t>
      </w:r>
    </w:p>
    <w:p w14:paraId="57374E08" w14:textId="77777777" w:rsidR="00010203" w:rsidRPr="000D7121" w:rsidRDefault="00010203" w:rsidP="00010203">
      <w:pPr>
        <w:pStyle w:val="Standard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Desplazamiento altitudinal de los óptimos de las especies forestales  </w:t>
      </w:r>
    </w:p>
    <w:p w14:paraId="7FB96F08" w14:textId="77777777" w:rsidR="00010203" w:rsidRPr="000D7121" w:rsidRDefault="00010203" w:rsidP="00010203">
      <w:pPr>
        <w:pStyle w:val="Standard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>Modificación de lo</w:t>
      </w:r>
      <w:r>
        <w:rPr>
          <w:rFonts w:asciiTheme="minorHAnsi" w:hAnsiTheme="minorHAnsi" w:cstheme="minorHAnsi"/>
          <w:sz w:val="22"/>
          <w:szCs w:val="22"/>
          <w:lang w:val="es-ES"/>
        </w:rPr>
        <w:t>s ciclos de vida de los árboles, por ejemplo</w:t>
      </w: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 mayor temporada de crecimiento</w:t>
      </w:r>
    </w:p>
    <w:p w14:paraId="07E575DA" w14:textId="77777777" w:rsidR="00010203" w:rsidRPr="000D7121" w:rsidRDefault="00010203" w:rsidP="00010203">
      <w:pPr>
        <w:pStyle w:val="Standard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Cambios importantes en la composición de los ecosistemas, nuevas </w:t>
      </w:r>
      <w:r>
        <w:rPr>
          <w:rFonts w:asciiTheme="minorHAnsi" w:hAnsiTheme="minorHAnsi" w:cstheme="minorHAnsi"/>
          <w:sz w:val="22"/>
          <w:szCs w:val="22"/>
          <w:lang w:val="es-ES"/>
        </w:rPr>
        <w:t>asociaciones</w:t>
      </w: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 de especies</w:t>
      </w:r>
    </w:p>
    <w:p w14:paraId="08E6EE10" w14:textId="77777777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Además, induce fenómenos de riesgo: </w:t>
      </w:r>
    </w:p>
    <w:p w14:paraId="1E478254" w14:textId="77777777" w:rsidR="00010203" w:rsidRPr="000D7121" w:rsidRDefault="00010203" w:rsidP="00010203">
      <w:pPr>
        <w:pStyle w:val="Standard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>Mayor frecuencia de fenómenos climáticos (tormentas, lluvias intensas, etc.): riesgos de vientos</w:t>
      </w:r>
      <w:r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 problemas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</w:t>
      </w: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árboles caídos y aprovechamiento de la madera</w:t>
      </w:r>
      <w:r w:rsidRPr="000D7121">
        <w:rPr>
          <w:rFonts w:asciiTheme="minorHAnsi" w:hAnsiTheme="minorHAnsi" w:cstheme="minorHAnsi"/>
          <w:sz w:val="22"/>
          <w:szCs w:val="22"/>
          <w:lang w:val="es-ES"/>
        </w:rPr>
        <w:t>, heladas tar</w:t>
      </w:r>
      <w:r>
        <w:rPr>
          <w:rFonts w:asciiTheme="minorHAnsi" w:hAnsiTheme="minorHAnsi" w:cstheme="minorHAnsi"/>
          <w:sz w:val="22"/>
          <w:szCs w:val="22"/>
          <w:lang w:val="es-ES"/>
        </w:rPr>
        <w:t>días y malformación</w:t>
      </w: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, debilitamiento de los suelos, </w:t>
      </w:r>
      <w:r>
        <w:rPr>
          <w:rFonts w:asciiTheme="minorHAnsi" w:hAnsiTheme="minorHAnsi" w:cstheme="minorHAnsi"/>
          <w:sz w:val="22"/>
          <w:szCs w:val="22"/>
          <w:lang w:val="es-ES"/>
        </w:rPr>
        <w:t>cambios</w:t>
      </w: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 de los calendarios de </w:t>
      </w:r>
      <w:r>
        <w:rPr>
          <w:rFonts w:asciiTheme="minorHAnsi" w:hAnsiTheme="minorHAnsi" w:cstheme="minorHAnsi"/>
          <w:sz w:val="22"/>
          <w:szCs w:val="22"/>
          <w:lang w:val="es-ES"/>
        </w:rPr>
        <w:t>extracción de madera.</w:t>
      </w:r>
    </w:p>
    <w:p w14:paraId="385F91EE" w14:textId="77777777" w:rsidR="00010203" w:rsidRPr="000D7121" w:rsidRDefault="00010203" w:rsidP="00010203">
      <w:pPr>
        <w:pStyle w:val="Standard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Modificación de los ciclos de vida y presencia de </w:t>
      </w:r>
      <w:r>
        <w:rPr>
          <w:rFonts w:asciiTheme="minorHAnsi" w:hAnsiTheme="minorHAnsi" w:cstheme="minorHAnsi"/>
          <w:sz w:val="22"/>
          <w:szCs w:val="22"/>
          <w:lang w:val="es-ES"/>
        </w:rPr>
        <w:t>plagas</w:t>
      </w:r>
    </w:p>
    <w:p w14:paraId="456E20E4" w14:textId="77777777" w:rsidR="00010203" w:rsidRPr="000D7121" w:rsidRDefault="00010203" w:rsidP="00010203">
      <w:pPr>
        <w:pStyle w:val="Standard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>Riesgo de incendio en zonas hasta ahora no afectadas por este riesgo</w:t>
      </w:r>
    </w:p>
    <w:p w14:paraId="2CF0A4F8" w14:textId="77777777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La movilización de los gestores e investigadores en torno a estas cuestiones, a través de iniciativas como los proyectos CANOPEE, ACCLIMAFOR, OPCC ADAPYR, ha dado lugar a una gran cantidad de conocimientos sobre el cambio climático en los Pirineos. </w:t>
      </w:r>
    </w:p>
    <w:p w14:paraId="26F58547" w14:textId="77777777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Para reforzar la resiliencia de los espacios forestales pirenaicos, es necesario que los actores locales, se apropien de este conocimiento y establezcan mecanismos de información, consulta y toma de decisiones. </w:t>
      </w:r>
    </w:p>
    <w:p w14:paraId="3406BDB3" w14:textId="77777777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D7121">
        <w:rPr>
          <w:rFonts w:asciiTheme="minorHAnsi" w:hAnsiTheme="minorHAnsi" w:cstheme="minorHAnsi"/>
          <w:sz w:val="22"/>
          <w:szCs w:val="22"/>
          <w:lang w:val="es-ES"/>
        </w:rPr>
        <w:t xml:space="preserve"> Más información sobre el proyecto: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3" w:history="1">
        <w:r w:rsidRPr="00114CB7">
          <w:rPr>
            <w:rStyle w:val="Lienhypertexte"/>
            <w:rFonts w:asciiTheme="minorHAnsi" w:hAnsiTheme="minorHAnsi" w:cstheme="minorHAnsi"/>
            <w:sz w:val="22"/>
            <w:szCs w:val="22"/>
            <w:lang w:val="es-ES"/>
          </w:rPr>
          <w:t>https://www.opcc-ctp.org/es/proyecto/opcc-adapyr</w:t>
        </w:r>
      </w:hyperlink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1A84BC1" w14:textId="77777777" w:rsidR="00010203" w:rsidRPr="000D7121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4297270" w14:textId="3171B157" w:rsidR="00B10792" w:rsidRPr="00A55089" w:rsidRDefault="00010203" w:rsidP="007F2397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ES"/>
        </w:rPr>
        <w:t>Financiación del proyecto</w:t>
      </w:r>
    </w:p>
    <w:p w14:paraId="71AD1D43" w14:textId="4A173EE6" w:rsidR="00010203" w:rsidRPr="00010203" w:rsidRDefault="00010203" w:rsidP="007F2397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514BA">
        <w:rPr>
          <w:rFonts w:asciiTheme="minorHAnsi" w:hAnsiTheme="minorHAnsi" w:cstheme="minorHAnsi"/>
          <w:sz w:val="22"/>
          <w:szCs w:val="22"/>
          <w:lang w:val="es-ES"/>
        </w:rPr>
        <w:t xml:space="preserve">El proyecto OPCC-ADAPYR agrupa socios franceses, españoles y andorranos. </w:t>
      </w:r>
      <w:r w:rsidRPr="00010203">
        <w:rPr>
          <w:rFonts w:asciiTheme="minorHAnsi" w:hAnsiTheme="minorHAnsi" w:cstheme="minorHAnsi"/>
          <w:sz w:val="22"/>
          <w:szCs w:val="22"/>
          <w:lang w:val="es-ES"/>
        </w:rPr>
        <w:t>Lo coordina la Comunidad de Trabajo de los Pirineos.</w:t>
      </w:r>
    </w:p>
    <w:p w14:paraId="502C2F16" w14:textId="64A3A93B" w:rsidR="00010203" w:rsidRPr="00010203" w:rsidRDefault="00010203" w:rsidP="007F2397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10203">
        <w:rPr>
          <w:rFonts w:asciiTheme="minorHAnsi" w:hAnsiTheme="minorHAnsi" w:cstheme="minorHAnsi"/>
          <w:sz w:val="22"/>
          <w:szCs w:val="22"/>
          <w:lang w:val="es-ES"/>
        </w:rPr>
        <w:t>FORSPIR, adjudicador de la presente licitaci</w:t>
      </w:r>
      <w:r>
        <w:rPr>
          <w:rFonts w:asciiTheme="minorHAnsi" w:hAnsiTheme="minorHAnsi" w:cstheme="minorHAnsi"/>
          <w:sz w:val="22"/>
          <w:szCs w:val="22"/>
          <w:lang w:val="es-ES"/>
        </w:rPr>
        <w:t>ón, es beneficiario del proyecto. Sus acciones realizadas en el marco de ADAYR benefician de una cofinanciación de 65% del Fondo Europeo de Desarrollo Regional (FEDER), mediante el Programa Operacional de Cooperación Territorial España – Francia – Andorra (POCTEFA), por el estado Francés (ANCT – FNADT), y el Conseil Régional Occitanie “Pyrénées – Méditerrannée”</w:t>
      </w:r>
    </w:p>
    <w:p w14:paraId="324C1E6D" w14:textId="613AB794" w:rsidR="006A6490" w:rsidRDefault="00010203" w:rsidP="007F2397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10203">
        <w:rPr>
          <w:rFonts w:asciiTheme="minorHAnsi" w:hAnsiTheme="minorHAnsi" w:cstheme="minorHAnsi"/>
          <w:sz w:val="22"/>
          <w:szCs w:val="22"/>
          <w:lang w:val="es-ES"/>
        </w:rPr>
        <w:t>POCTEFA es el acrónimo del programa Interreg V-A Espa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ña- Francia – Andorra. Es un programa de cooperación transfronteriza creado en el propósito de promover el desarrollo sostenible de los territorios fronterizos de los tres países. </w:t>
      </w:r>
    </w:p>
    <w:p w14:paraId="6B469282" w14:textId="4C390AFF" w:rsidR="00010203" w:rsidRPr="00010203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10203">
        <w:rPr>
          <w:rFonts w:asciiTheme="minorHAnsi" w:hAnsiTheme="minorHAnsi" w:cstheme="minorHAnsi"/>
          <w:sz w:val="22"/>
          <w:szCs w:val="22"/>
          <w:lang w:val="es-ES"/>
        </w:rPr>
        <w:lastRenderedPageBreak/>
        <w:t>El POCTEFA 2014-2020 es la quinta generación de apoyo financiero comunitario para reforzar la integración económica y social de esta zona fronteriza. POCTEFA cofinancia proyectos de cooperación transfronteriza diseñados y gestionados por actores situados a ambos lados de los Pirineos y zonas costeras que participan en el Programa, salvaguardando el crecimiento inteligente, sostenible e integrador del territorio.</w:t>
      </w:r>
    </w:p>
    <w:p w14:paraId="7625102D" w14:textId="3CBAAE16" w:rsidR="006A6490" w:rsidRPr="00A55089" w:rsidRDefault="00010203" w:rsidP="000102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10203">
        <w:rPr>
          <w:rFonts w:asciiTheme="minorHAnsi" w:hAnsiTheme="minorHAnsi" w:cstheme="minorHAnsi"/>
          <w:sz w:val="22"/>
          <w:szCs w:val="22"/>
          <w:lang w:val="es-ES"/>
        </w:rPr>
        <w:t xml:space="preserve">El programa promueve el desarrollo sostenible del territorio fronterizo de España, Francia y Andorra mediante la cooperación transfronteriza. Contribuye a reducir las diferencias en el desarrollo del territorio y a aunar esfuerzos para lograr el desarrollo sostenible de la región y la cohesión de las regiones que la componen. En definitiva, el programa, con la ayuda de los fondos europeos, contribuye a mejorar la calidad de vida de los habitantes de la región. Para más información, visite el sitio web del programa: </w:t>
      </w:r>
      <w:hyperlink r:id="rId14" w:history="1">
        <w:r w:rsidRPr="00B03502">
          <w:rPr>
            <w:rStyle w:val="Lienhypertexte"/>
            <w:rFonts w:asciiTheme="minorHAnsi" w:hAnsiTheme="minorHAnsi" w:cstheme="minorHAnsi"/>
            <w:sz w:val="22"/>
            <w:szCs w:val="22"/>
            <w:lang w:val="es-ES"/>
          </w:rPr>
          <w:t>https://www.poctefa.eu/fr</w:t>
        </w:r>
      </w:hyperlink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1E4427C" w14:textId="4A2A3868" w:rsidR="00C604CE" w:rsidRPr="00A55089" w:rsidRDefault="00010203" w:rsidP="006A6490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tbl>
      <w:tblPr>
        <w:tblW w:w="19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8"/>
        <w:gridCol w:w="9978"/>
      </w:tblGrid>
      <w:tr w:rsidR="007F2397" w:rsidRPr="00A55089" w14:paraId="6F8E4734" w14:textId="43903D0C" w:rsidTr="007F2397">
        <w:tc>
          <w:tcPr>
            <w:tcW w:w="99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1DBA" w14:textId="2414E82A" w:rsidR="007F2397" w:rsidRPr="00A55089" w:rsidRDefault="007F2397" w:rsidP="00010203">
            <w:pPr>
              <w:pStyle w:val="Standard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A550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Presta</w:t>
            </w:r>
            <w:r w:rsidR="000102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ción solicitada</w:t>
            </w:r>
          </w:p>
        </w:tc>
        <w:tc>
          <w:tcPr>
            <w:tcW w:w="9978" w:type="dxa"/>
          </w:tcPr>
          <w:p w14:paraId="0F82CB4E" w14:textId="77777777" w:rsidR="007F2397" w:rsidRPr="00A55089" w:rsidRDefault="007F2397" w:rsidP="00D36B83">
            <w:pPr>
              <w:pStyle w:val="Standard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</w:tbl>
    <w:p w14:paraId="59507E9C" w14:textId="19333A52" w:rsidR="008F703E" w:rsidRDefault="008F703E" w:rsidP="00011D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B514BA">
        <w:rPr>
          <w:rFonts w:asciiTheme="minorHAnsi" w:hAnsiTheme="minorHAnsi" w:cstheme="minorHAnsi"/>
          <w:sz w:val="22"/>
          <w:szCs w:val="22"/>
          <w:lang w:val="es-ES"/>
        </w:rPr>
        <w:t>servicio propuesto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apunta la promoción de </w:t>
      </w:r>
      <w:r w:rsidRPr="00EB3FAD">
        <w:rPr>
          <w:rFonts w:asciiTheme="minorHAnsi" w:hAnsiTheme="minorHAnsi" w:cstheme="minorHAnsi"/>
          <w:sz w:val="22"/>
          <w:szCs w:val="22"/>
          <w:lang w:val="es-ES"/>
        </w:rPr>
        <w:t>la adaptación al cambio climático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en el sector forestal en los Pirineos</w:t>
      </w:r>
      <w:r w:rsidR="004A7E85">
        <w:rPr>
          <w:rFonts w:asciiTheme="minorHAnsi" w:hAnsiTheme="minorHAnsi" w:cstheme="minorHAnsi"/>
          <w:sz w:val="22"/>
          <w:szCs w:val="22"/>
          <w:lang w:val="es-ES"/>
        </w:rPr>
        <w:t xml:space="preserve">, y especialmente en </w:t>
      </w:r>
      <w:r w:rsidR="00370CC7">
        <w:rPr>
          <w:rFonts w:asciiTheme="minorHAnsi" w:hAnsiTheme="minorHAnsi" w:cstheme="minorHAnsi"/>
          <w:sz w:val="22"/>
          <w:szCs w:val="22"/>
          <w:lang w:val="es-ES"/>
        </w:rPr>
        <w:t>Euskadi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. Puede presentar los avances, conocimientos, proyectos, buenas prácticas vinculados el tema. </w:t>
      </w:r>
    </w:p>
    <w:p w14:paraId="36C0DC23" w14:textId="786CC0C8" w:rsidR="008F703E" w:rsidRDefault="008F703E" w:rsidP="00011D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 público objetivo es constituido de profesionales del sector forestal, propietarios forestales, gestores, científicos, administraciones.</w:t>
      </w:r>
    </w:p>
    <w:p w14:paraId="6388633A" w14:textId="6099808D" w:rsidR="008F703E" w:rsidRDefault="008F703E" w:rsidP="00011D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La forma de promoción puede ser </w:t>
      </w:r>
      <w:r w:rsidR="00880BD4">
        <w:rPr>
          <w:rFonts w:asciiTheme="minorHAnsi" w:hAnsiTheme="minorHAnsi" w:cstheme="minorHAnsi"/>
          <w:sz w:val="22"/>
          <w:szCs w:val="22"/>
          <w:lang w:val="es-ES"/>
        </w:rPr>
        <w:t xml:space="preserve">varia. Se espera proposiciones de tipo seminario, </w:t>
      </w:r>
      <w:r>
        <w:rPr>
          <w:rFonts w:asciiTheme="minorHAnsi" w:hAnsiTheme="minorHAnsi" w:cstheme="minorHAnsi"/>
          <w:sz w:val="22"/>
          <w:szCs w:val="22"/>
          <w:lang w:val="es-ES"/>
        </w:rPr>
        <w:t>presentación</w:t>
      </w:r>
      <w:r w:rsidR="00880BD4">
        <w:rPr>
          <w:rFonts w:asciiTheme="minorHAnsi" w:hAnsiTheme="minorHAnsi" w:cstheme="minorHAnsi"/>
          <w:sz w:val="22"/>
          <w:szCs w:val="22"/>
          <w:lang w:val="es-ES"/>
        </w:rPr>
        <w:t xml:space="preserve"> de operaciones en el campo, talleres de intercambios,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reuniones. Se celebrarán preferiblemente en presencial. </w:t>
      </w:r>
    </w:p>
    <w:p w14:paraId="39A337DE" w14:textId="64E1D3E9" w:rsidR="008F703E" w:rsidRDefault="008F703E" w:rsidP="00011D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Es posible invitar a expertos relevantes, provenientes de la zona pirenaica o más allá</w:t>
      </w:r>
      <w:r w:rsidR="00880BD4">
        <w:rPr>
          <w:rFonts w:asciiTheme="minorHAnsi" w:hAnsiTheme="minorHAnsi" w:cstheme="minorHAnsi"/>
          <w:sz w:val="22"/>
          <w:szCs w:val="22"/>
          <w:lang w:val="es-ES"/>
        </w:rPr>
        <w:t xml:space="preserve"> de ser necesario. </w:t>
      </w:r>
    </w:p>
    <w:p w14:paraId="468B8D5A" w14:textId="40674743" w:rsidR="00880BD4" w:rsidRDefault="00880BD4" w:rsidP="00011D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Una breve presentación del proyecto ADAPYR debe ser hecha al inicio del evento. Tal presentaciones serán proporcionadas por FORESPIR. </w:t>
      </w:r>
    </w:p>
    <w:p w14:paraId="75826ADA" w14:textId="77777777" w:rsidR="003A6B24" w:rsidRPr="00A55089" w:rsidRDefault="003A6B24" w:rsidP="00011D03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AD74A1F" w14:textId="6B06000D" w:rsidR="007F2397" w:rsidRPr="00B514BA" w:rsidRDefault="00880BD4" w:rsidP="00B514BA">
      <w:pPr>
        <w:pStyle w:val="Standard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ES"/>
        </w:rPr>
      </w:pPr>
      <w:r w:rsidRPr="00B514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ES"/>
        </w:rPr>
        <w:t xml:space="preserve">Elementos entregados por el </w:t>
      </w:r>
      <w:r w:rsidR="00B514BA" w:rsidRPr="00B514B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ES"/>
        </w:rPr>
        <w:t>licitado</w:t>
      </w:r>
    </w:p>
    <w:p w14:paraId="3BB36919" w14:textId="7B2FA63C" w:rsidR="00B10792" w:rsidRDefault="00880BD4" w:rsidP="007F2397">
      <w:pPr>
        <w:pStyle w:val="Standard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Un informe sintético de presentación de las acciones realizadas se proveerá en español</w:t>
      </w:r>
      <w:r w:rsidR="00AC59CE">
        <w:rPr>
          <w:rFonts w:asciiTheme="minorHAnsi" w:hAnsiTheme="minorHAnsi" w:cstheme="minorHAnsi"/>
          <w:sz w:val="22"/>
          <w:szCs w:val="22"/>
          <w:lang w:val="es-ES"/>
        </w:rPr>
        <w:t xml:space="preserve"> con </w:t>
      </w:r>
      <w:r>
        <w:rPr>
          <w:rFonts w:asciiTheme="minorHAnsi" w:hAnsiTheme="minorHAnsi" w:cstheme="minorHAnsi"/>
          <w:sz w:val="22"/>
          <w:szCs w:val="22"/>
          <w:lang w:val="es-ES"/>
        </w:rPr>
        <w:t>fotografías,</w:t>
      </w:r>
      <w:r w:rsidR="00AC59CE">
        <w:rPr>
          <w:rFonts w:asciiTheme="minorHAnsi" w:hAnsiTheme="minorHAnsi" w:cstheme="minorHAnsi"/>
          <w:sz w:val="22"/>
          <w:szCs w:val="22"/>
          <w:lang w:val="es-ES"/>
        </w:rPr>
        <w:t xml:space="preserve"> programa del evento, </w:t>
      </w:r>
      <w:r w:rsidR="005545DD">
        <w:rPr>
          <w:rFonts w:asciiTheme="minorHAnsi" w:hAnsiTheme="minorHAnsi" w:cstheme="minorHAnsi"/>
          <w:sz w:val="22"/>
          <w:szCs w:val="22"/>
          <w:lang w:val="es-ES"/>
        </w:rPr>
        <w:t>número</w:t>
      </w:r>
      <w:r w:rsidR="00AC59CE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EC6356">
        <w:rPr>
          <w:rFonts w:asciiTheme="minorHAnsi" w:hAnsiTheme="minorHAnsi" w:cstheme="minorHAnsi"/>
          <w:sz w:val="22"/>
          <w:szCs w:val="22"/>
          <w:lang w:val="es-ES"/>
        </w:rPr>
        <w:t>participantes, tipo de público,</w:t>
      </w:r>
      <w:r w:rsidR="00AC59CE">
        <w:rPr>
          <w:rFonts w:asciiTheme="minorHAnsi" w:hAnsiTheme="minorHAnsi" w:cstheme="minorHAnsi"/>
          <w:sz w:val="22"/>
          <w:szCs w:val="22"/>
          <w:lang w:val="es-ES"/>
        </w:rPr>
        <w:t>…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Este informe deberá llevar </w:t>
      </w:r>
      <w:r w:rsidR="00AC59CE">
        <w:rPr>
          <w:rFonts w:asciiTheme="minorHAnsi" w:hAnsiTheme="minorHAnsi" w:cstheme="minorHAnsi"/>
          <w:sz w:val="22"/>
          <w:szCs w:val="22"/>
          <w:lang w:val="es-ES"/>
        </w:rPr>
        <w:t xml:space="preserve">como mínimo </w:t>
      </w:r>
      <w:r>
        <w:rPr>
          <w:rFonts w:asciiTheme="minorHAnsi" w:hAnsiTheme="minorHAnsi" w:cstheme="minorHAnsi"/>
          <w:sz w:val="22"/>
          <w:szCs w:val="22"/>
          <w:lang w:val="es-ES"/>
        </w:rPr>
        <w:t>el logo del proyecto, de sus financiadores, de FORESPIR</w:t>
      </w:r>
      <w:r w:rsidR="00AC59CE">
        <w:rPr>
          <w:rFonts w:asciiTheme="minorHAnsi" w:hAnsiTheme="minorHAnsi" w:cstheme="minorHAnsi"/>
          <w:sz w:val="22"/>
          <w:szCs w:val="22"/>
          <w:lang w:val="es-ES"/>
        </w:rPr>
        <w:t xml:space="preserve"> y de la entidad organizadora</w:t>
      </w:r>
      <w:r w:rsidR="00EC6356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C6356">
        <w:rPr>
          <w:rFonts w:asciiTheme="minorHAnsi" w:hAnsiTheme="minorHAnsi" w:cstheme="minorHAnsi"/>
          <w:sz w:val="22"/>
          <w:szCs w:val="22"/>
          <w:lang w:val="es-ES"/>
        </w:rPr>
        <w:t xml:space="preserve">FORESPIR </w:t>
      </w:r>
      <w:r>
        <w:rPr>
          <w:rFonts w:asciiTheme="minorHAnsi" w:hAnsiTheme="minorHAnsi" w:cstheme="minorHAnsi"/>
          <w:sz w:val="22"/>
          <w:szCs w:val="22"/>
          <w:lang w:val="es-ES"/>
        </w:rPr>
        <w:t>proporcionará</w:t>
      </w:r>
      <w:r w:rsidR="00EC6356">
        <w:rPr>
          <w:rFonts w:asciiTheme="minorHAnsi" w:hAnsiTheme="minorHAnsi" w:cstheme="minorHAnsi"/>
          <w:sz w:val="22"/>
          <w:szCs w:val="22"/>
          <w:lang w:val="es-ES"/>
        </w:rPr>
        <w:t xml:space="preserve"> los logos vinculados al proyecto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B514B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608CB" w:rsidRPr="00A55089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</w:p>
    <w:p w14:paraId="190962F0" w14:textId="335360C5" w:rsid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MARCO RESERVADO A LA EMPRESA SOLICITANTE</w:t>
      </w:r>
    </w:p>
    <w:p w14:paraId="6B0405B1" w14:textId="31DD892E" w:rsidR="00674650" w:rsidRP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20B43B96" w14:textId="53CE4D5C" w:rsid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674650">
        <w:rPr>
          <w:rFonts w:asciiTheme="minorHAnsi" w:hAnsiTheme="minorHAnsi" w:cstheme="minorHAnsi"/>
          <w:bCs/>
          <w:sz w:val="22"/>
          <w:szCs w:val="22"/>
          <w:lang w:val="es-ES"/>
        </w:rPr>
        <w:t>Nombre de la empresa: _____________________________________________________________________</w:t>
      </w:r>
    </w:p>
    <w:p w14:paraId="054FB2D3" w14:textId="77777777" w:rsidR="00674650" w:rsidRP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6A0B5FE5" w14:textId="77777777" w:rsid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674650">
        <w:rPr>
          <w:rFonts w:asciiTheme="minorHAnsi" w:hAnsiTheme="minorHAnsi" w:cstheme="minorHAnsi"/>
          <w:bCs/>
          <w:sz w:val="22"/>
          <w:szCs w:val="22"/>
          <w:lang w:val="es-ES"/>
        </w:rPr>
        <w:t>Nombre y Apellidos del representante legal</w:t>
      </w:r>
      <w:r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 </w:t>
      </w:r>
    </w:p>
    <w:p w14:paraId="74BB051A" w14:textId="516AB286" w:rsid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  <w:lang w:val="es-ES"/>
        </w:rPr>
        <w:t>___________________________________</w:t>
      </w:r>
      <w:r w:rsidRPr="00674650">
        <w:rPr>
          <w:rFonts w:asciiTheme="minorHAnsi" w:hAnsiTheme="minorHAnsi" w:cstheme="minorHAnsi"/>
          <w:bCs/>
          <w:sz w:val="22"/>
          <w:szCs w:val="22"/>
          <w:lang w:val="es-ES"/>
        </w:rPr>
        <w:t>_____________________________________________________</w:t>
      </w:r>
    </w:p>
    <w:p w14:paraId="664E6F29" w14:textId="77777777" w:rsidR="00674650" w:rsidRP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391F9C18" w14:textId="1894C48C" w:rsidR="00674650" w:rsidRP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674650">
        <w:rPr>
          <w:rFonts w:asciiTheme="minorHAnsi" w:hAnsiTheme="minorHAnsi" w:cstheme="minorHAnsi"/>
          <w:bCs/>
          <w:sz w:val="22"/>
          <w:szCs w:val="22"/>
          <w:lang w:val="es-ES"/>
        </w:rPr>
        <w:t>Página web de la organización________________________________________________________________</w:t>
      </w:r>
    </w:p>
    <w:p w14:paraId="307E170F" w14:textId="77777777" w:rsidR="00B514BA" w:rsidRPr="00370CC7" w:rsidRDefault="00B514BA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1377C4D7" w14:textId="257DBB37" w:rsidR="00B10792" w:rsidRPr="00674650" w:rsidRDefault="00880BD4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674650">
        <w:rPr>
          <w:rFonts w:asciiTheme="minorHAnsi" w:hAnsiTheme="minorHAnsi" w:cstheme="minorHAnsi"/>
          <w:bCs/>
          <w:sz w:val="22"/>
          <w:szCs w:val="22"/>
          <w:lang w:val="es-ES"/>
        </w:rPr>
        <w:t>Leído y aprobado,</w:t>
      </w:r>
    </w:p>
    <w:p w14:paraId="17DC743E" w14:textId="2C7AB716" w:rsidR="00B10792" w:rsidRP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67465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Cuidad, </w:t>
      </w:r>
      <w:r w:rsidR="00880BD4" w:rsidRPr="00674650">
        <w:rPr>
          <w:rFonts w:asciiTheme="minorHAnsi" w:hAnsiTheme="minorHAnsi" w:cstheme="minorHAnsi"/>
          <w:bCs/>
          <w:sz w:val="22"/>
          <w:szCs w:val="22"/>
          <w:lang w:val="es-ES"/>
        </w:rPr>
        <w:t>Fecha</w:t>
      </w:r>
      <w:r w:rsidR="009608CB" w:rsidRPr="0067465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:</w:t>
      </w:r>
    </w:p>
    <w:p w14:paraId="7F641E8D" w14:textId="34AEF73B" w:rsidR="00B10792" w:rsidRDefault="00880BD4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674650">
        <w:rPr>
          <w:rFonts w:asciiTheme="minorHAnsi" w:hAnsiTheme="minorHAnsi" w:cstheme="minorHAnsi"/>
          <w:bCs/>
          <w:sz w:val="22"/>
          <w:szCs w:val="22"/>
          <w:lang w:val="es-ES"/>
        </w:rPr>
        <w:t>Firma y sello</w:t>
      </w:r>
      <w:r w:rsidR="009608CB" w:rsidRPr="0067465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:</w:t>
      </w:r>
    </w:p>
    <w:p w14:paraId="7BDA504D" w14:textId="77777777" w:rsid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01478772" w14:textId="77777777" w:rsid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3023E26D" w14:textId="77777777" w:rsidR="00674650" w:rsidRPr="00674650" w:rsidRDefault="00674650" w:rsidP="0067465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lang w:val="es-ES"/>
        </w:rPr>
      </w:pPr>
    </w:p>
    <w:sectPr w:rsidR="00674650" w:rsidRPr="00674650">
      <w:footerReference w:type="default" r:id="rId15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DB37" w14:textId="77777777" w:rsidR="0070775E" w:rsidRDefault="0070775E">
      <w:r>
        <w:separator/>
      </w:r>
    </w:p>
  </w:endnote>
  <w:endnote w:type="continuationSeparator" w:id="0">
    <w:p w14:paraId="547CFB82" w14:textId="77777777" w:rsidR="0070775E" w:rsidRDefault="007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C5C9F" w14:textId="77777777" w:rsidR="00D402F4" w:rsidRDefault="009608CB">
    <w:pPr>
      <w:pStyle w:val="Pieddepage"/>
    </w:pPr>
    <w:r>
      <w:fldChar w:fldCharType="begin"/>
    </w:r>
    <w:r>
      <w:instrText xml:space="preserve"> PAGE \* CIRCLENUM </w:instrText>
    </w:r>
    <w:r>
      <w:fldChar w:fldCharType="separate"/>
    </w:r>
    <w:r w:rsidR="006E3E0A">
      <w:rPr>
        <w:rFonts w:ascii="Cambria Math" w:hAnsi="Cambria Math" w:cs="Cambria Math"/>
        <w:noProof/>
      </w:rPr>
      <w:t>④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C8FE" w14:textId="77777777" w:rsidR="0070775E" w:rsidRDefault="0070775E">
      <w:r>
        <w:rPr>
          <w:color w:val="000000"/>
        </w:rPr>
        <w:separator/>
      </w:r>
    </w:p>
  </w:footnote>
  <w:footnote w:type="continuationSeparator" w:id="0">
    <w:p w14:paraId="3C1D7352" w14:textId="77777777" w:rsidR="0070775E" w:rsidRDefault="0070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49A"/>
    <w:multiLevelType w:val="hybridMultilevel"/>
    <w:tmpl w:val="86CA6B3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48F3"/>
    <w:multiLevelType w:val="hybridMultilevel"/>
    <w:tmpl w:val="86BAE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1D2"/>
    <w:multiLevelType w:val="hybridMultilevel"/>
    <w:tmpl w:val="3DC0525A"/>
    <w:lvl w:ilvl="0" w:tplc="32B23A56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BC6"/>
    <w:multiLevelType w:val="multilevel"/>
    <w:tmpl w:val="766EBC96"/>
    <w:lvl w:ilvl="0">
      <w:numFmt w:val="bullet"/>
      <w:lvlText w:val="•"/>
      <w:lvlJc w:val="left"/>
      <w:pPr>
        <w:ind w:left="720" w:hanging="360"/>
      </w:pPr>
      <w:rPr>
        <w:rFonts w:ascii="Arial" w:eastAsia="WenQuanYi Micro He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A0424D"/>
    <w:multiLevelType w:val="hybridMultilevel"/>
    <w:tmpl w:val="65EEBFAE"/>
    <w:lvl w:ilvl="0" w:tplc="32B23A56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F4B"/>
    <w:multiLevelType w:val="hybridMultilevel"/>
    <w:tmpl w:val="8EB670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326E"/>
    <w:multiLevelType w:val="hybridMultilevel"/>
    <w:tmpl w:val="D8E08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27A4"/>
    <w:multiLevelType w:val="multilevel"/>
    <w:tmpl w:val="EE5CC6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2E7B66"/>
    <w:multiLevelType w:val="hybridMultilevel"/>
    <w:tmpl w:val="827A2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A75D9"/>
    <w:multiLevelType w:val="hybridMultilevel"/>
    <w:tmpl w:val="A880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005B6"/>
    <w:multiLevelType w:val="multilevel"/>
    <w:tmpl w:val="AE825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427"/>
    <w:multiLevelType w:val="multilevel"/>
    <w:tmpl w:val="800A85E0"/>
    <w:lvl w:ilvl="0">
      <w:numFmt w:val="bullet"/>
      <w:lvlText w:val="•"/>
      <w:lvlJc w:val="left"/>
      <w:pPr>
        <w:ind w:left="720" w:hanging="360"/>
      </w:pPr>
      <w:rPr>
        <w:rFonts w:ascii="Arial" w:eastAsia="WenQuanYi Micro He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DF3038"/>
    <w:multiLevelType w:val="multilevel"/>
    <w:tmpl w:val="32B6BCD6"/>
    <w:lvl w:ilvl="0">
      <w:numFmt w:val="bullet"/>
      <w:lvlText w:val="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E7B44CE"/>
    <w:multiLevelType w:val="hybridMultilevel"/>
    <w:tmpl w:val="B680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194B"/>
    <w:multiLevelType w:val="hybridMultilevel"/>
    <w:tmpl w:val="0DFCC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55A95"/>
    <w:multiLevelType w:val="multilevel"/>
    <w:tmpl w:val="A836A1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15515"/>
    <w:multiLevelType w:val="hybridMultilevel"/>
    <w:tmpl w:val="BBB21F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96CEF"/>
    <w:multiLevelType w:val="hybridMultilevel"/>
    <w:tmpl w:val="D5B4E65E"/>
    <w:lvl w:ilvl="0" w:tplc="395AB88E">
      <w:start w:val="2"/>
      <w:numFmt w:val="bullet"/>
      <w:lvlText w:val=""/>
      <w:lvlJc w:val="left"/>
      <w:pPr>
        <w:ind w:left="720" w:hanging="360"/>
      </w:pPr>
      <w:rPr>
        <w:rFonts w:ascii="Wingdings" w:eastAsia="WenQuanYi Micro He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D2006"/>
    <w:multiLevelType w:val="hybridMultilevel"/>
    <w:tmpl w:val="7786C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472B6"/>
    <w:multiLevelType w:val="hybridMultilevel"/>
    <w:tmpl w:val="B8F892FC"/>
    <w:lvl w:ilvl="0" w:tplc="D228F12C"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65A11"/>
    <w:multiLevelType w:val="hybridMultilevel"/>
    <w:tmpl w:val="0AFA97EC"/>
    <w:lvl w:ilvl="0" w:tplc="0B16AF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63D38"/>
    <w:multiLevelType w:val="hybridMultilevel"/>
    <w:tmpl w:val="90D4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E792B"/>
    <w:multiLevelType w:val="hybridMultilevel"/>
    <w:tmpl w:val="5BF2B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3233"/>
    <w:multiLevelType w:val="hybridMultilevel"/>
    <w:tmpl w:val="4A12FF0C"/>
    <w:lvl w:ilvl="0" w:tplc="622A515A">
      <w:numFmt w:val="bullet"/>
      <w:lvlText w:val="-"/>
      <w:lvlJc w:val="left"/>
      <w:pPr>
        <w:ind w:left="720" w:hanging="360"/>
      </w:pPr>
      <w:rPr>
        <w:rFonts w:ascii="Arial" w:eastAsia="WenQuanYi Micro He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53DB"/>
    <w:multiLevelType w:val="hybridMultilevel"/>
    <w:tmpl w:val="4AA4D08E"/>
    <w:lvl w:ilvl="0" w:tplc="B62A13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451D0"/>
    <w:multiLevelType w:val="hybridMultilevel"/>
    <w:tmpl w:val="CCBCE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44978"/>
    <w:multiLevelType w:val="hybridMultilevel"/>
    <w:tmpl w:val="95D2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B3E29"/>
    <w:multiLevelType w:val="hybridMultilevel"/>
    <w:tmpl w:val="EB5CEA7C"/>
    <w:lvl w:ilvl="0" w:tplc="07328A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838F2"/>
    <w:multiLevelType w:val="multilevel"/>
    <w:tmpl w:val="A9A846E6"/>
    <w:lvl w:ilvl="0">
      <w:numFmt w:val="bullet"/>
      <w:lvlText w:val=""/>
      <w:lvlJc w:val="left"/>
      <w:pPr>
        <w:ind w:left="199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20"/>
  </w:num>
  <w:num w:numId="9">
    <w:abstractNumId w:val="2"/>
  </w:num>
  <w:num w:numId="10">
    <w:abstractNumId w:val="4"/>
  </w:num>
  <w:num w:numId="11">
    <w:abstractNumId w:val="27"/>
  </w:num>
  <w:num w:numId="12">
    <w:abstractNumId w:val="25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6"/>
  </w:num>
  <w:num w:numId="18">
    <w:abstractNumId w:val="13"/>
  </w:num>
  <w:num w:numId="19">
    <w:abstractNumId w:val="23"/>
  </w:num>
  <w:num w:numId="20">
    <w:abstractNumId w:val="22"/>
  </w:num>
  <w:num w:numId="21">
    <w:abstractNumId w:val="9"/>
  </w:num>
  <w:num w:numId="22">
    <w:abstractNumId w:val="0"/>
  </w:num>
  <w:num w:numId="23">
    <w:abstractNumId w:val="19"/>
  </w:num>
  <w:num w:numId="24">
    <w:abstractNumId w:val="17"/>
  </w:num>
  <w:num w:numId="25">
    <w:abstractNumId w:val="21"/>
  </w:num>
  <w:num w:numId="26">
    <w:abstractNumId w:val="26"/>
  </w:num>
  <w:num w:numId="27">
    <w:abstractNumId w:val="8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92"/>
    <w:rsid w:val="00010203"/>
    <w:rsid w:val="00011D03"/>
    <w:rsid w:val="000B703A"/>
    <w:rsid w:val="000F7292"/>
    <w:rsid w:val="00134D61"/>
    <w:rsid w:val="00202FBB"/>
    <w:rsid w:val="00213173"/>
    <w:rsid w:val="002234D2"/>
    <w:rsid w:val="00273E51"/>
    <w:rsid w:val="00304BEB"/>
    <w:rsid w:val="00356045"/>
    <w:rsid w:val="00360F48"/>
    <w:rsid w:val="00370CC7"/>
    <w:rsid w:val="00397753"/>
    <w:rsid w:val="003A6B24"/>
    <w:rsid w:val="003B2AE8"/>
    <w:rsid w:val="004A7E85"/>
    <w:rsid w:val="004C53C5"/>
    <w:rsid w:val="004E3AAA"/>
    <w:rsid w:val="005545DD"/>
    <w:rsid w:val="005741A5"/>
    <w:rsid w:val="00576F35"/>
    <w:rsid w:val="00607F79"/>
    <w:rsid w:val="0062608E"/>
    <w:rsid w:val="00637F0E"/>
    <w:rsid w:val="006474D4"/>
    <w:rsid w:val="00667743"/>
    <w:rsid w:val="00674650"/>
    <w:rsid w:val="006A6490"/>
    <w:rsid w:val="006E3E0A"/>
    <w:rsid w:val="006E4EBF"/>
    <w:rsid w:val="0070775E"/>
    <w:rsid w:val="00720E9C"/>
    <w:rsid w:val="0073493C"/>
    <w:rsid w:val="007418CE"/>
    <w:rsid w:val="00797D6B"/>
    <w:rsid w:val="007A250D"/>
    <w:rsid w:val="007A582B"/>
    <w:rsid w:val="007F2397"/>
    <w:rsid w:val="00810B52"/>
    <w:rsid w:val="0084594F"/>
    <w:rsid w:val="00880BD4"/>
    <w:rsid w:val="00884596"/>
    <w:rsid w:val="008F703E"/>
    <w:rsid w:val="00923B4C"/>
    <w:rsid w:val="00925E7F"/>
    <w:rsid w:val="00934E6C"/>
    <w:rsid w:val="00935996"/>
    <w:rsid w:val="00945C24"/>
    <w:rsid w:val="009608CB"/>
    <w:rsid w:val="00962F3E"/>
    <w:rsid w:val="00993950"/>
    <w:rsid w:val="009B7E9D"/>
    <w:rsid w:val="009E2BFC"/>
    <w:rsid w:val="00A21009"/>
    <w:rsid w:val="00A31C7A"/>
    <w:rsid w:val="00A32DA2"/>
    <w:rsid w:val="00A55089"/>
    <w:rsid w:val="00AC59CE"/>
    <w:rsid w:val="00AE6106"/>
    <w:rsid w:val="00B10792"/>
    <w:rsid w:val="00B514BA"/>
    <w:rsid w:val="00B70B63"/>
    <w:rsid w:val="00B83B72"/>
    <w:rsid w:val="00B869DE"/>
    <w:rsid w:val="00BC724E"/>
    <w:rsid w:val="00BF35DD"/>
    <w:rsid w:val="00C01935"/>
    <w:rsid w:val="00C604CE"/>
    <w:rsid w:val="00C70A1F"/>
    <w:rsid w:val="00C77C1A"/>
    <w:rsid w:val="00D36B83"/>
    <w:rsid w:val="00DF1994"/>
    <w:rsid w:val="00E34C16"/>
    <w:rsid w:val="00E63379"/>
    <w:rsid w:val="00E73950"/>
    <w:rsid w:val="00E868B6"/>
    <w:rsid w:val="00EB3FAD"/>
    <w:rsid w:val="00EC6356"/>
    <w:rsid w:val="00ED07FF"/>
    <w:rsid w:val="00F02231"/>
    <w:rsid w:val="00F17D75"/>
    <w:rsid w:val="00F52840"/>
    <w:rsid w:val="00F7225E"/>
    <w:rsid w:val="00F748DF"/>
    <w:rsid w:val="00FB7B8C"/>
    <w:rsid w:val="00FD4391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2AC4"/>
  <w15:docId w15:val="{74F283D1-0A42-4E84-9178-F7FED8A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4989"/>
        <w:tab w:val="right" w:pos="997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9E2BF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2BF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32DA2"/>
    <w:pPr>
      <w:suppressAutoHyphens w:val="0"/>
      <w:autoSpaceDN/>
      <w:spacing w:line="360" w:lineRule="auto"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val="es-ES" w:eastAsia="en-US" w:bidi="ar-SA"/>
    </w:rPr>
  </w:style>
  <w:style w:type="character" w:styleId="lev">
    <w:name w:val="Strong"/>
    <w:basedOn w:val="Policepardfaut"/>
    <w:uiPriority w:val="22"/>
    <w:qFormat/>
    <w:rsid w:val="00810B5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11D03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0A1F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0A1F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C70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pcc-ctp.org/es/proyecto/opcc-adapy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astien.chauvin@forespi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bastien.chauvin@forespi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respi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ctefa.eu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E65C-21DE-4297-9186-DA46945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</dc:creator>
  <cp:lastModifiedBy>Raphael</cp:lastModifiedBy>
  <cp:revision>2</cp:revision>
  <cp:lastPrinted>2021-12-09T14:56:00Z</cp:lastPrinted>
  <dcterms:created xsi:type="dcterms:W3CDTF">2022-03-08T15:08:00Z</dcterms:created>
  <dcterms:modified xsi:type="dcterms:W3CDTF">2022-03-08T15:08:00Z</dcterms:modified>
</cp:coreProperties>
</file>